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0B7CD" w14:textId="77777777" w:rsidR="00010EA0" w:rsidRDefault="00010EA0" w:rsidP="00BA6FD3">
      <w:pPr>
        <w:jc w:val="both"/>
      </w:pPr>
    </w:p>
    <w:p w14:paraId="5E5818B3" w14:textId="77777777" w:rsidR="00010EA0" w:rsidRDefault="00010EA0" w:rsidP="00BA6FD3">
      <w:pPr>
        <w:jc w:val="both"/>
      </w:pPr>
    </w:p>
    <w:p w14:paraId="74B87413" w14:textId="77777777" w:rsidR="00010EA0" w:rsidRDefault="00010EA0" w:rsidP="00BA6FD3">
      <w:pPr>
        <w:jc w:val="both"/>
      </w:pPr>
    </w:p>
    <w:p w14:paraId="6349F011" w14:textId="77777777" w:rsidR="00010EA0" w:rsidRDefault="00010EA0" w:rsidP="00BA6FD3">
      <w:pPr>
        <w:jc w:val="both"/>
      </w:pPr>
    </w:p>
    <w:p w14:paraId="268B9D0F" w14:textId="77777777" w:rsidR="00010EA0" w:rsidRDefault="00010EA0" w:rsidP="00BA6FD3">
      <w:pPr>
        <w:jc w:val="both"/>
        <w:rPr>
          <w:sz w:val="48"/>
          <w:szCs w:val="48"/>
        </w:rPr>
      </w:pPr>
    </w:p>
    <w:p w14:paraId="55151CF8" w14:textId="77777777" w:rsidR="00010EA0" w:rsidRDefault="00010EA0" w:rsidP="00BA6FD3">
      <w:pPr>
        <w:jc w:val="both"/>
        <w:rPr>
          <w:sz w:val="48"/>
          <w:szCs w:val="48"/>
        </w:rPr>
      </w:pPr>
    </w:p>
    <w:p w14:paraId="26052BBD" w14:textId="77777777" w:rsidR="00010EA0" w:rsidRDefault="00010EA0" w:rsidP="00BA6FD3">
      <w:pPr>
        <w:jc w:val="both"/>
        <w:rPr>
          <w:sz w:val="48"/>
          <w:szCs w:val="48"/>
        </w:rPr>
      </w:pPr>
    </w:p>
    <w:p w14:paraId="2F6BBCBD" w14:textId="77777777" w:rsidR="00010EA0" w:rsidRDefault="00010EA0" w:rsidP="00BA6FD3">
      <w:pPr>
        <w:jc w:val="both"/>
        <w:rPr>
          <w:sz w:val="48"/>
          <w:szCs w:val="48"/>
        </w:rPr>
      </w:pPr>
    </w:p>
    <w:p w14:paraId="533478A6" w14:textId="77777777" w:rsidR="00010EA0" w:rsidRDefault="00010EA0" w:rsidP="00BA6FD3">
      <w:pPr>
        <w:jc w:val="both"/>
        <w:rPr>
          <w:sz w:val="48"/>
          <w:szCs w:val="48"/>
        </w:rPr>
      </w:pPr>
    </w:p>
    <w:p w14:paraId="1F0557EA" w14:textId="77777777" w:rsidR="00010EA0" w:rsidRDefault="00010EA0" w:rsidP="00BA6FD3">
      <w:pPr>
        <w:jc w:val="both"/>
        <w:rPr>
          <w:sz w:val="48"/>
          <w:szCs w:val="48"/>
        </w:rPr>
      </w:pPr>
    </w:p>
    <w:p w14:paraId="2B0A7D28" w14:textId="77777777" w:rsidR="00010EA0" w:rsidRDefault="00010EA0" w:rsidP="00BA6FD3">
      <w:pPr>
        <w:jc w:val="both"/>
        <w:rPr>
          <w:sz w:val="48"/>
          <w:szCs w:val="48"/>
        </w:rPr>
      </w:pPr>
    </w:p>
    <w:p w14:paraId="4C703681" w14:textId="77777777" w:rsidR="00010EA0" w:rsidRDefault="00010EA0" w:rsidP="00BA6FD3">
      <w:pPr>
        <w:jc w:val="both"/>
        <w:rPr>
          <w:sz w:val="48"/>
          <w:szCs w:val="48"/>
        </w:rPr>
      </w:pPr>
    </w:p>
    <w:p w14:paraId="07E7DDF1" w14:textId="77777777" w:rsidR="00010EA0" w:rsidRDefault="00010EA0" w:rsidP="00BA6FD3">
      <w:pPr>
        <w:jc w:val="both"/>
        <w:rPr>
          <w:sz w:val="48"/>
          <w:szCs w:val="48"/>
        </w:rPr>
      </w:pPr>
    </w:p>
    <w:p w14:paraId="653A0951" w14:textId="77777777" w:rsidR="00010EA0" w:rsidRDefault="00010EA0" w:rsidP="00BA6FD3">
      <w:pPr>
        <w:jc w:val="both"/>
        <w:rPr>
          <w:sz w:val="48"/>
          <w:szCs w:val="48"/>
        </w:rPr>
      </w:pPr>
      <w:r>
        <w:rPr>
          <w:noProof/>
          <w:lang w:eastAsia="pt-BR"/>
        </w:rPr>
        <mc:AlternateContent>
          <mc:Choice Requires="wps">
            <w:drawing>
              <wp:anchor distT="0" distB="0" distL="114300" distR="114300" simplePos="0" relativeHeight="251659264" behindDoc="0" locked="0" layoutInCell="1" allowOverlap="1" wp14:anchorId="682686D4" wp14:editId="290F59F8">
                <wp:simplePos x="0" y="0"/>
                <wp:positionH relativeFrom="column">
                  <wp:posOffset>55245</wp:posOffset>
                </wp:positionH>
                <wp:positionV relativeFrom="paragraph">
                  <wp:posOffset>50800</wp:posOffset>
                </wp:positionV>
                <wp:extent cx="5360035" cy="967740"/>
                <wp:effectExtent l="0" t="0" r="12065" b="13970"/>
                <wp:wrapNone/>
                <wp:docPr id="307" name="Caixa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0035" cy="976630"/>
                        </a:xfrm>
                        <a:prstGeom prst="rect">
                          <a:avLst/>
                        </a:prstGeom>
                        <a:solidFill>
                          <a:srgbClr val="FFFFFF"/>
                        </a:solidFill>
                        <a:ln w="9525">
                          <a:solidFill>
                            <a:srgbClr val="000000"/>
                          </a:solidFill>
                          <a:miter lim="800000"/>
                          <a:headEnd/>
                          <a:tailEnd/>
                        </a:ln>
                      </wps:spPr>
                      <wps:txbx>
                        <w:txbxContent>
                          <w:p w14:paraId="25831CE7" w14:textId="77777777" w:rsidR="00435AB6" w:rsidRDefault="00435AB6" w:rsidP="00EA344D">
                            <w:pPr>
                              <w:jc w:val="center"/>
                              <w:rPr>
                                <w:sz w:val="48"/>
                                <w:szCs w:val="48"/>
                              </w:rPr>
                            </w:pPr>
                            <w:r>
                              <w:rPr>
                                <w:sz w:val="48"/>
                                <w:szCs w:val="48"/>
                              </w:rPr>
                              <w:t xml:space="preserve">JUSTIFICATIVAS DO </w:t>
                            </w:r>
                            <w:r w:rsidR="00963AE2">
                              <w:rPr>
                                <w:sz w:val="48"/>
                                <w:szCs w:val="48"/>
                              </w:rPr>
                              <w:t>TR</w:t>
                            </w:r>
                          </w:p>
                          <w:p w14:paraId="31F898F8" w14:textId="77777777" w:rsidR="00435AB6" w:rsidRDefault="00435AB6" w:rsidP="00010EA0">
                            <w:pPr>
                              <w:jc w:val="center"/>
                              <w:rPr>
                                <w:sz w:val="24"/>
                                <w:szCs w:val="24"/>
                              </w:rPr>
                            </w:pPr>
                            <w:r>
                              <w:rPr>
                                <w:sz w:val="24"/>
                                <w:szCs w:val="24"/>
                              </w:rPr>
                              <w:t>Anexo 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2686D4" id="_x0000_t202" coordsize="21600,21600" o:spt="202" path="m,l,21600r21600,l21600,xe">
                <v:stroke joinstyle="miter"/>
                <v:path gradientshapeok="t" o:connecttype="rect"/>
              </v:shapetype>
              <v:shape id="Caixa de texto 307" o:spid="_x0000_s1026" type="#_x0000_t202" style="position:absolute;left:0;text-align:left;margin-left:4.35pt;margin-top:4pt;width:422.05pt;height:76.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">
                <v:textbox style="mso-fit-shape-to-text:t">
                  <w:txbxContent>
                    <w:p w14:paraId="25831CE7" w14:textId="77777777" w:rsidR="00435AB6" w:rsidRDefault="00435AB6" w:rsidP="00EA344D">
                      <w:pPr>
                        <w:jc w:val="center"/>
                        <w:rPr>
                          <w:sz w:val="48"/>
                          <w:szCs w:val="48"/>
                        </w:rPr>
                      </w:pPr>
                      <w:r>
                        <w:rPr>
                          <w:sz w:val="48"/>
                          <w:szCs w:val="48"/>
                        </w:rPr>
                        <w:t xml:space="preserve">JUSTIFICATIVAS DO </w:t>
                      </w:r>
                      <w:r w:rsidR="00963AE2">
                        <w:rPr>
                          <w:sz w:val="48"/>
                          <w:szCs w:val="48"/>
                        </w:rPr>
                        <w:t>TR</w:t>
                      </w:r>
                    </w:p>
                    <w:p w14:paraId="31F898F8" w14:textId="77777777" w:rsidR="00435AB6" w:rsidRDefault="00435AB6" w:rsidP="00010EA0">
                      <w:pPr>
                        <w:jc w:val="center"/>
                        <w:rPr>
                          <w:sz w:val="24"/>
                          <w:szCs w:val="24"/>
                        </w:rPr>
                      </w:pPr>
                      <w:r>
                        <w:rPr>
                          <w:sz w:val="24"/>
                          <w:szCs w:val="24"/>
                        </w:rPr>
                        <w:t>Anexo I</w:t>
                      </w:r>
                    </w:p>
                  </w:txbxContent>
                </v:textbox>
              </v:shape>
            </w:pict>
          </mc:Fallback>
        </mc:AlternateContent>
      </w:r>
    </w:p>
    <w:p w14:paraId="7E844D0D" w14:textId="77777777" w:rsidR="00010EA0" w:rsidRDefault="00010EA0" w:rsidP="00BA6FD3">
      <w:pPr>
        <w:jc w:val="both"/>
        <w:rPr>
          <w:sz w:val="48"/>
          <w:szCs w:val="48"/>
        </w:rPr>
      </w:pPr>
    </w:p>
    <w:p w14:paraId="348CE9C1" w14:textId="77777777" w:rsidR="00010EA0" w:rsidRDefault="00010EA0" w:rsidP="00BA6FD3">
      <w:pPr>
        <w:jc w:val="both"/>
        <w:rPr>
          <w:sz w:val="48"/>
          <w:szCs w:val="48"/>
        </w:rPr>
      </w:pPr>
    </w:p>
    <w:p w14:paraId="1CF058AC" w14:textId="77777777" w:rsidR="00010EA0" w:rsidRDefault="00010EA0" w:rsidP="00BA6FD3">
      <w:pPr>
        <w:jc w:val="both"/>
        <w:rPr>
          <w:sz w:val="48"/>
          <w:szCs w:val="48"/>
        </w:rPr>
      </w:pPr>
    </w:p>
    <w:p w14:paraId="4B8683DE" w14:textId="77777777" w:rsidR="00010EA0" w:rsidRDefault="00010EA0" w:rsidP="00BA6FD3">
      <w:pPr>
        <w:jc w:val="both"/>
        <w:rPr>
          <w:sz w:val="48"/>
          <w:szCs w:val="48"/>
        </w:rPr>
      </w:pPr>
    </w:p>
    <w:p w14:paraId="027DBD22" w14:textId="77777777" w:rsidR="00010EA0" w:rsidRDefault="00010EA0" w:rsidP="00BA6FD3">
      <w:pPr>
        <w:jc w:val="both"/>
        <w:rPr>
          <w:sz w:val="48"/>
          <w:szCs w:val="48"/>
        </w:rPr>
      </w:pPr>
    </w:p>
    <w:p w14:paraId="2CCD80E4" w14:textId="77777777" w:rsidR="00010EA0" w:rsidRDefault="00010EA0" w:rsidP="00BA6FD3">
      <w:pPr>
        <w:jc w:val="both"/>
        <w:rPr>
          <w:sz w:val="48"/>
          <w:szCs w:val="48"/>
        </w:rPr>
      </w:pPr>
    </w:p>
    <w:p w14:paraId="62D685DE" w14:textId="77777777" w:rsidR="00010EA0" w:rsidRDefault="00010EA0" w:rsidP="00BA6FD3">
      <w:pPr>
        <w:jc w:val="both"/>
        <w:rPr>
          <w:sz w:val="48"/>
          <w:szCs w:val="48"/>
        </w:rPr>
      </w:pPr>
    </w:p>
    <w:p w14:paraId="5ADA7ABA" w14:textId="77777777" w:rsidR="00010EA0" w:rsidRDefault="00010EA0" w:rsidP="00BA6FD3">
      <w:pPr>
        <w:jc w:val="both"/>
        <w:rPr>
          <w:sz w:val="48"/>
          <w:szCs w:val="48"/>
        </w:rPr>
      </w:pPr>
    </w:p>
    <w:p w14:paraId="0AA30CB0" w14:textId="77777777" w:rsidR="00010EA0" w:rsidRDefault="00010EA0" w:rsidP="00BA6FD3">
      <w:pPr>
        <w:jc w:val="both"/>
        <w:rPr>
          <w:sz w:val="48"/>
          <w:szCs w:val="48"/>
        </w:rPr>
      </w:pPr>
    </w:p>
    <w:p w14:paraId="2C2A6A9F" w14:textId="77777777" w:rsidR="00010EA0" w:rsidRDefault="00010EA0" w:rsidP="00BA6FD3">
      <w:pPr>
        <w:jc w:val="both"/>
        <w:rPr>
          <w:sz w:val="48"/>
          <w:szCs w:val="48"/>
        </w:rPr>
      </w:pPr>
    </w:p>
    <w:p w14:paraId="72490F74" w14:textId="77777777" w:rsidR="00010EA0" w:rsidRDefault="00010EA0" w:rsidP="00BA6FD3">
      <w:pPr>
        <w:jc w:val="both"/>
        <w:rPr>
          <w:sz w:val="48"/>
          <w:szCs w:val="48"/>
        </w:rPr>
      </w:pPr>
    </w:p>
    <w:p w14:paraId="77E2D018" w14:textId="77777777" w:rsidR="00010EA0" w:rsidRDefault="00010EA0" w:rsidP="00BA6FD3">
      <w:pPr>
        <w:jc w:val="both"/>
        <w:rPr>
          <w:sz w:val="48"/>
          <w:szCs w:val="48"/>
        </w:rPr>
      </w:pPr>
    </w:p>
    <w:p w14:paraId="53562BC4" w14:textId="77777777" w:rsidR="00010EA0" w:rsidRDefault="00010EA0" w:rsidP="00BA6FD3">
      <w:pPr>
        <w:jc w:val="both"/>
        <w:rPr>
          <w:sz w:val="48"/>
          <w:szCs w:val="48"/>
        </w:rPr>
      </w:pPr>
    </w:p>
    <w:p w14:paraId="2BD9F291" w14:textId="77777777" w:rsidR="00010EA0" w:rsidRDefault="00010EA0" w:rsidP="00BA6FD3">
      <w:pPr>
        <w:jc w:val="center"/>
        <w:rPr>
          <w:sz w:val="24"/>
          <w:szCs w:val="24"/>
        </w:rPr>
      </w:pPr>
      <w:r>
        <w:rPr>
          <w:sz w:val="24"/>
          <w:szCs w:val="24"/>
        </w:rPr>
        <w:t>-</w:t>
      </w:r>
      <w:r w:rsidR="00963AE2">
        <w:rPr>
          <w:sz w:val="24"/>
          <w:szCs w:val="24"/>
        </w:rPr>
        <w:t>OUTUBRO</w:t>
      </w:r>
      <w:r>
        <w:rPr>
          <w:sz w:val="24"/>
          <w:szCs w:val="24"/>
        </w:rPr>
        <w:t xml:space="preserve"> 20</w:t>
      </w:r>
      <w:r w:rsidR="00926490">
        <w:rPr>
          <w:sz w:val="24"/>
          <w:szCs w:val="24"/>
        </w:rPr>
        <w:t>20</w:t>
      </w:r>
      <w:r>
        <w:rPr>
          <w:sz w:val="24"/>
          <w:szCs w:val="24"/>
        </w:rPr>
        <w:t>-</w:t>
      </w:r>
    </w:p>
    <w:p w14:paraId="633B81E2" w14:textId="77777777" w:rsidR="00B22393" w:rsidRDefault="00B22393" w:rsidP="00BA6FD3">
      <w:pPr>
        <w:spacing w:after="200" w:line="276" w:lineRule="auto"/>
        <w:jc w:val="both"/>
        <w:rPr>
          <w:b/>
        </w:rPr>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62845863"/>
      <w:bookmarkStart w:id="9" w:name="_Ref462845883"/>
      <w:bookmarkStart w:id="10" w:name="_Ref462845891"/>
    </w:p>
    <w:p w14:paraId="7CF2B9CD" w14:textId="77777777" w:rsidR="00B22393" w:rsidRPr="00BC42FE" w:rsidRDefault="00B22393" w:rsidP="00BA6FD3">
      <w:pPr>
        <w:spacing w:after="200" w:line="276" w:lineRule="auto"/>
        <w:jc w:val="both"/>
        <w:rPr>
          <w:b/>
        </w:rPr>
      </w:pPr>
      <w:r w:rsidRPr="00BC42FE">
        <w:rPr>
          <w:b/>
        </w:rPr>
        <w:t xml:space="preserve">Anexo </w:t>
      </w:r>
      <w:r w:rsidRPr="00BC42FE">
        <w:rPr>
          <w:b/>
        </w:rPr>
        <w:fldChar w:fldCharType="begin"/>
      </w:r>
      <w:r w:rsidRPr="00BC42FE">
        <w:rPr>
          <w:b/>
        </w:rPr>
        <w:instrText xml:space="preserve"> SEQ Anexo \* ROMAN </w:instrText>
      </w:r>
      <w:r w:rsidRPr="00BC42FE">
        <w:rPr>
          <w:b/>
        </w:rPr>
        <w:fldChar w:fldCharType="separate"/>
      </w:r>
      <w:r w:rsidR="00AB5071">
        <w:rPr>
          <w:b/>
          <w:noProof/>
        </w:rPr>
        <w:t>I</w:t>
      </w:r>
      <w:r w:rsidRPr="00BC42FE">
        <w:rPr>
          <w:b/>
        </w:rPr>
        <w:fldChar w:fldCharType="end"/>
      </w:r>
      <w:bookmarkEnd w:id="0"/>
      <w:r w:rsidRPr="00BC42FE">
        <w:rPr>
          <w:b/>
        </w:rPr>
        <w:t>: Justificativas</w:t>
      </w:r>
      <w:bookmarkEnd w:id="1"/>
      <w:bookmarkEnd w:id="2"/>
      <w:bookmarkEnd w:id="3"/>
      <w:bookmarkEnd w:id="4"/>
      <w:bookmarkEnd w:id="5"/>
      <w:bookmarkEnd w:id="6"/>
      <w:bookmarkEnd w:id="7"/>
      <w:bookmarkEnd w:id="8"/>
      <w:bookmarkEnd w:id="9"/>
      <w:bookmarkEnd w:id="10"/>
    </w:p>
    <w:p w14:paraId="06CEF399" w14:textId="77777777" w:rsidR="00B22393" w:rsidRPr="00BA1CBF" w:rsidRDefault="00B22393" w:rsidP="00BA6FD3">
      <w:pPr>
        <w:jc w:val="both"/>
        <w:rPr>
          <w:u w:val="single"/>
        </w:rPr>
      </w:pPr>
      <w:r w:rsidRPr="00BA1CBF">
        <w:rPr>
          <w:b/>
          <w:u w:val="single"/>
        </w:rPr>
        <w:t>Finalidade</w:t>
      </w:r>
      <w:r w:rsidRPr="00BA1CBF">
        <w:rPr>
          <w:u w:val="single"/>
        </w:rPr>
        <w:t xml:space="preserve">: </w:t>
      </w:r>
    </w:p>
    <w:p w14:paraId="4C63ED74" w14:textId="77777777" w:rsidR="00B22393" w:rsidRPr="000845A2" w:rsidRDefault="00B22393" w:rsidP="00BA6FD3">
      <w:pPr>
        <w:spacing w:before="120" w:after="240"/>
        <w:jc w:val="both"/>
      </w:pPr>
      <w:r>
        <w:t>E</w:t>
      </w:r>
      <w:r w:rsidRPr="000845A2">
        <w:t xml:space="preserve">ste anexo tem por finalidade incluir exigências e particularidades em função da especificidade da </w:t>
      </w:r>
      <w:r w:rsidR="00926490">
        <w:t xml:space="preserve">dos serviços de engenharia </w:t>
      </w:r>
      <w:r w:rsidRPr="000845A2">
        <w:t>previst</w:t>
      </w:r>
      <w:r w:rsidR="00926490">
        <w:t>o</w:t>
      </w:r>
      <w:r w:rsidRPr="000845A2">
        <w:t xml:space="preserve"> no </w:t>
      </w:r>
      <w:r w:rsidR="00963AE2">
        <w:t>Termo de Referência</w:t>
      </w:r>
      <w:r>
        <w:t xml:space="preserve"> </w:t>
      </w:r>
      <w:r w:rsidRPr="000845A2">
        <w:t>que aqui após relacionadas</w:t>
      </w:r>
      <w:r>
        <w:t>,</w:t>
      </w:r>
      <w:r w:rsidRPr="000845A2">
        <w:t xml:space="preserve"> passam a integrar o </w:t>
      </w:r>
      <w:r w:rsidR="00963AE2">
        <w:t>TR</w:t>
      </w:r>
      <w:r w:rsidRPr="000845A2">
        <w:t>.</w:t>
      </w:r>
    </w:p>
    <w:p w14:paraId="30994FD0" w14:textId="77777777" w:rsidR="00B22393" w:rsidRPr="00B22393" w:rsidRDefault="00B22393" w:rsidP="00BA6FD3">
      <w:pPr>
        <w:spacing w:after="120"/>
        <w:jc w:val="both"/>
        <w:rPr>
          <w:b/>
        </w:rPr>
      </w:pPr>
      <w:r w:rsidRPr="00B22393">
        <w:rPr>
          <w:b/>
        </w:rPr>
        <w:t>Justificativas:</w:t>
      </w:r>
    </w:p>
    <w:p w14:paraId="04979BC8" w14:textId="77777777" w:rsidR="00B22393" w:rsidRPr="00B22393" w:rsidRDefault="00B22393" w:rsidP="00BA6FD3">
      <w:pPr>
        <w:spacing w:after="120"/>
        <w:jc w:val="both"/>
        <w:rPr>
          <w:b/>
          <w:u w:val="single"/>
        </w:rPr>
      </w:pPr>
      <w:r w:rsidRPr="00B22393">
        <w:rPr>
          <w:b/>
          <w:u w:val="single"/>
        </w:rPr>
        <w:t>Da necessidade da contratação</w:t>
      </w:r>
    </w:p>
    <w:p w14:paraId="47400A7E" w14:textId="77777777" w:rsidR="00B22393" w:rsidRDefault="00B22393" w:rsidP="00BA6FD3">
      <w:pPr>
        <w:jc w:val="both"/>
      </w:pPr>
      <w:r w:rsidRPr="00B22393">
        <w:t xml:space="preserve">Justifica-se pela aplicação de políticas públicas, voltada para a solução de carências de infraestrutura na região do nordeste. Apesar de terem proporcionado alguns progressos ainda não conseguiram melhorar substanciamente os indicadores sociais da região, que se situam entre os mais baixos do país. </w:t>
      </w:r>
      <w:proofErr w:type="gramStart"/>
      <w:r w:rsidR="00593CD4" w:rsidRPr="00593CD4">
        <w:t>Os</w:t>
      </w:r>
      <w:r w:rsidRPr="00593CD4">
        <w:t xml:space="preserve"> serviços </w:t>
      </w:r>
      <w:r w:rsidR="00593CD4" w:rsidRPr="00593CD4">
        <w:t>de pavimentação</w:t>
      </w:r>
      <w:r w:rsidRPr="00B22393">
        <w:t xml:space="preserve"> nos municípios maranhense vem</w:t>
      </w:r>
      <w:proofErr w:type="gramEnd"/>
      <w:r w:rsidRPr="00B22393">
        <w:t xml:space="preserve"> suprir uma demanda da população que sofrem com precariedade de infraestrutura dificultando o acesso a saúde, educação, por impossibilidade de deslocamento restrigindo muitas vezes o direito de ir e vir ao longo dos anos. Contudo, é possivel perceber a urgência da adoção de medidas capazes de melhorar a qualidade de vida da população da região, com</w:t>
      </w:r>
      <w:r>
        <w:t xml:space="preserve"> </w:t>
      </w:r>
      <w:r w:rsidR="00926490">
        <w:t>os serviços</w:t>
      </w:r>
      <w:r>
        <w:t xml:space="preserve"> em questão.</w:t>
      </w:r>
      <w:r w:rsidRPr="00B22393">
        <w:t xml:space="preserve"> </w:t>
      </w:r>
    </w:p>
    <w:p w14:paraId="7EDF5E82" w14:textId="77777777" w:rsidR="00B22393" w:rsidRDefault="00B22393" w:rsidP="00BA6FD3">
      <w:pPr>
        <w:ind w:firstLine="708"/>
        <w:jc w:val="both"/>
      </w:pPr>
      <w:r w:rsidRPr="008E76C9">
        <w:t xml:space="preserve">Com o objetivo de proporcionar o atendimento ao direito humano fundamental de acesso à saúde, </w:t>
      </w:r>
      <w:r>
        <w:t xml:space="preserve">educação e lazer </w:t>
      </w:r>
      <w:r w:rsidRPr="008E76C9">
        <w:t>em qualidade e quantidade</w:t>
      </w:r>
      <w:r>
        <w:t xml:space="preserve"> n</w:t>
      </w:r>
      <w:r w:rsidRPr="008E76C9">
        <w:t>o direito de ir e vir numa pespectiva de melhoria da qualidade de vida a 8ª supe</w:t>
      </w:r>
      <w:r>
        <w:t>rintendencia aprova o projeto do</w:t>
      </w:r>
      <w:r w:rsidRPr="008E76C9">
        <w:t xml:space="preserve">s serviços de engenharia objeto deste </w:t>
      </w:r>
      <w:r>
        <w:t>Projeto Básico</w:t>
      </w:r>
      <w:r w:rsidRPr="008E76C9">
        <w:t>.</w:t>
      </w:r>
    </w:p>
    <w:p w14:paraId="5A39A027" w14:textId="77777777" w:rsidR="00B22393" w:rsidRDefault="00B22393" w:rsidP="00BA6FD3">
      <w:pPr>
        <w:ind w:firstLine="708"/>
        <w:jc w:val="both"/>
      </w:pPr>
      <w:r>
        <w:t>Motivação da contratação, informar para fins de instrução do processo:</w:t>
      </w:r>
    </w:p>
    <w:p w14:paraId="6FC1ECFB" w14:textId="77777777" w:rsidR="00B22393" w:rsidRDefault="00B22393" w:rsidP="00BA6FD3">
      <w:pPr>
        <w:numPr>
          <w:ilvl w:val="0"/>
          <w:numId w:val="8"/>
        </w:numPr>
        <w:suppressAutoHyphens w:val="0"/>
        <w:jc w:val="both"/>
      </w:pPr>
      <w:r>
        <w:t>Beneficios diretos e indiretos que resultarão da contratação;</w:t>
      </w:r>
    </w:p>
    <w:p w14:paraId="7DAD39D6" w14:textId="77777777" w:rsidR="00B22393" w:rsidRDefault="00B22393" w:rsidP="00BA6FD3">
      <w:pPr>
        <w:numPr>
          <w:ilvl w:val="0"/>
          <w:numId w:val="8"/>
        </w:numPr>
        <w:suppressAutoHyphens w:val="0"/>
        <w:jc w:val="both"/>
      </w:pPr>
      <w:r>
        <w:t>Conexão entre a contratação o gestror/planejador existente;</w:t>
      </w:r>
    </w:p>
    <w:p w14:paraId="7990D33B" w14:textId="77777777" w:rsidR="00B22393" w:rsidRDefault="00B22393" w:rsidP="00BA6FD3">
      <w:pPr>
        <w:numPr>
          <w:ilvl w:val="0"/>
          <w:numId w:val="8"/>
        </w:numPr>
        <w:suppressAutoHyphens w:val="0"/>
        <w:jc w:val="both"/>
      </w:pPr>
      <w:r>
        <w:t>Criterios ambientais adotados, quando houver;</w:t>
      </w:r>
    </w:p>
    <w:p w14:paraId="44046E74" w14:textId="77777777" w:rsidR="00B22393" w:rsidRDefault="00B22393" w:rsidP="00BA6FD3">
      <w:pPr>
        <w:numPr>
          <w:ilvl w:val="0"/>
          <w:numId w:val="8"/>
        </w:numPr>
        <w:suppressAutoHyphens w:val="0"/>
        <w:jc w:val="both"/>
      </w:pPr>
      <w:r>
        <w:t>Referencias a estudos preliminares, se houver;</w:t>
      </w:r>
    </w:p>
    <w:p w14:paraId="790E20E5" w14:textId="77777777" w:rsidR="00B22393" w:rsidRPr="008E76C9" w:rsidRDefault="00B22393" w:rsidP="00BA6FD3">
      <w:pPr>
        <w:numPr>
          <w:ilvl w:val="0"/>
          <w:numId w:val="8"/>
        </w:numPr>
        <w:suppressAutoHyphens w:val="0"/>
        <w:jc w:val="both"/>
      </w:pPr>
      <w:r>
        <w:t>Natureza do serviço continuado ou não.</w:t>
      </w:r>
    </w:p>
    <w:p w14:paraId="2E10D958" w14:textId="77777777" w:rsidR="00B22393" w:rsidRPr="00B22393" w:rsidRDefault="00B22393" w:rsidP="00BA6FD3">
      <w:pPr>
        <w:ind w:firstLine="708"/>
        <w:jc w:val="both"/>
        <w:rPr>
          <w:highlight w:val="yellow"/>
        </w:rPr>
      </w:pPr>
    </w:p>
    <w:p w14:paraId="576ECB07" w14:textId="77777777" w:rsidR="00A17E9C" w:rsidRPr="00A17E9C" w:rsidRDefault="00A17E9C" w:rsidP="00A17E9C">
      <w:pPr>
        <w:spacing w:after="120"/>
        <w:jc w:val="both"/>
        <w:rPr>
          <w:b/>
          <w:u w:val="single"/>
        </w:rPr>
      </w:pPr>
      <w:r w:rsidRPr="00A17E9C">
        <w:rPr>
          <w:b/>
          <w:u w:val="single"/>
        </w:rPr>
        <w:t>Estudo Técnico Preliminar:</w:t>
      </w:r>
    </w:p>
    <w:p w14:paraId="506F9F03" w14:textId="77777777" w:rsidR="00A17E9C" w:rsidRDefault="00A17E9C" w:rsidP="00A17E9C">
      <w:pPr>
        <w:jc w:val="both"/>
      </w:pPr>
      <w:r>
        <w:t>O</w:t>
      </w:r>
      <w:r w:rsidRPr="00A17E9C">
        <w:t xml:space="preserve"> </w:t>
      </w:r>
      <w:r>
        <w:t>tipo</w:t>
      </w:r>
      <w:r w:rsidRPr="00A17E9C">
        <w:t xml:space="preserve"> </w:t>
      </w:r>
      <w:r>
        <w:t>de</w:t>
      </w:r>
      <w:r w:rsidRPr="00A17E9C">
        <w:t xml:space="preserve"> </w:t>
      </w:r>
      <w:r>
        <w:t>serviço</w:t>
      </w:r>
      <w:r w:rsidRPr="00A17E9C">
        <w:t xml:space="preserve"> </w:t>
      </w:r>
      <w:r>
        <w:t>é</w:t>
      </w:r>
      <w:r w:rsidRPr="00A17E9C">
        <w:t xml:space="preserve"> </w:t>
      </w:r>
      <w:r>
        <w:t>estritamente</w:t>
      </w:r>
      <w:r w:rsidRPr="00A17E9C">
        <w:t xml:space="preserve"> </w:t>
      </w:r>
      <w:r>
        <w:t>de</w:t>
      </w:r>
      <w:r w:rsidRPr="00A17E9C">
        <w:t xml:space="preserve"> </w:t>
      </w:r>
      <w:r>
        <w:t>interesse</w:t>
      </w:r>
      <w:r w:rsidRPr="00A17E9C">
        <w:t xml:space="preserve"> </w:t>
      </w:r>
      <w:r>
        <w:t>público,</w:t>
      </w:r>
      <w:r w:rsidRPr="00A17E9C">
        <w:t xml:space="preserve"> </w:t>
      </w:r>
      <w:r>
        <w:t>por</w:t>
      </w:r>
      <w:r w:rsidRPr="00A17E9C">
        <w:t xml:space="preserve"> </w:t>
      </w:r>
      <w:r>
        <w:t>se</w:t>
      </w:r>
      <w:r w:rsidRPr="00A17E9C">
        <w:t xml:space="preserve"> </w:t>
      </w:r>
      <w:r>
        <w:t>tratar</w:t>
      </w:r>
      <w:r w:rsidRPr="00A17E9C">
        <w:t xml:space="preserve"> </w:t>
      </w:r>
      <w:r>
        <w:t>de</w:t>
      </w:r>
      <w:r w:rsidRPr="00A17E9C">
        <w:t xml:space="preserve"> </w:t>
      </w:r>
      <w:r>
        <w:t>pavimentação</w:t>
      </w:r>
      <w:r w:rsidRPr="00A17E9C">
        <w:t xml:space="preserve"> </w:t>
      </w:r>
      <w:r>
        <w:t>de</w:t>
      </w:r>
      <w:r w:rsidRPr="00A17E9C">
        <w:t xml:space="preserve"> </w:t>
      </w:r>
      <w:r>
        <w:t>vias</w:t>
      </w:r>
      <w:r w:rsidRPr="00A17E9C">
        <w:t xml:space="preserve"> </w:t>
      </w:r>
      <w:r>
        <w:t>públicas Municipais e/ou Estaduais de benefício</w:t>
      </w:r>
      <w:r w:rsidRPr="00A17E9C">
        <w:t xml:space="preserve"> </w:t>
      </w:r>
      <w:r>
        <w:t>coletivo.</w:t>
      </w:r>
    </w:p>
    <w:p w14:paraId="65341D44" w14:textId="77777777" w:rsidR="00A17E9C" w:rsidRDefault="00A17E9C" w:rsidP="00A17E9C">
      <w:pPr>
        <w:jc w:val="both"/>
      </w:pPr>
      <w:r>
        <w:t>A contratação via SRP será por demanda dos órgãos Municipais ou Estaduais conforme seus planos diretores, o qual define a melhor solução ao problema a ser resolvido.</w:t>
      </w:r>
    </w:p>
    <w:p w14:paraId="1B53981E" w14:textId="77777777" w:rsidR="00A17E9C" w:rsidRDefault="00A17E9C" w:rsidP="00A17E9C">
      <w:pPr>
        <w:jc w:val="both"/>
      </w:pPr>
      <w:r>
        <w:t>A viabilidade será dada pela previsão orçamentária existente para atendimento a demanda com compatibilidade a Lei Orçamentária Anual vigente.</w:t>
      </w:r>
    </w:p>
    <w:p w14:paraId="70FF6547" w14:textId="77777777" w:rsidR="00A17E9C" w:rsidRDefault="00A17E9C" w:rsidP="00A17E9C">
      <w:pPr>
        <w:jc w:val="both"/>
      </w:pPr>
    </w:p>
    <w:p w14:paraId="10DD3F58" w14:textId="77777777" w:rsidR="00A17E9C" w:rsidRPr="00A17E9C" w:rsidRDefault="00A17E9C" w:rsidP="00A17E9C">
      <w:pPr>
        <w:spacing w:after="120"/>
        <w:jc w:val="both"/>
        <w:rPr>
          <w:b/>
          <w:u w:val="single"/>
        </w:rPr>
      </w:pPr>
      <w:r w:rsidRPr="00A17E9C">
        <w:rPr>
          <w:b/>
          <w:u w:val="single"/>
        </w:rPr>
        <w:t>Tipo de Serviço: Comum</w:t>
      </w:r>
    </w:p>
    <w:p w14:paraId="12D3D1D6" w14:textId="77777777" w:rsidR="00A17E9C" w:rsidRDefault="00A17E9C" w:rsidP="00A17E9C">
      <w:pPr>
        <w:pStyle w:val="Corpodetexto"/>
        <w:spacing w:after="0"/>
        <w:ind w:right="108"/>
        <w:jc w:val="both"/>
      </w:pPr>
      <w:r>
        <w:t xml:space="preserve">O tipo de serviço objeto deste </w:t>
      </w:r>
      <w:r w:rsidR="00963AE2">
        <w:t>TR</w:t>
      </w:r>
      <w:r>
        <w:t xml:space="preserve"> se caracteriza como um serviço comum de engenharia por se tratar de atividades de baixa complexidade e pequeno porte com padrões de desempenho e qualidade que são objetivamente definidos neste </w:t>
      </w:r>
      <w:r w:rsidR="00963AE2">
        <w:t>TR</w:t>
      </w:r>
      <w:r>
        <w:t>, por meio de especificações usuais do mercado.</w:t>
      </w:r>
    </w:p>
    <w:p w14:paraId="6325C16D" w14:textId="77777777" w:rsidR="006B6F39" w:rsidRDefault="006B6F39" w:rsidP="00A17E9C">
      <w:pPr>
        <w:pStyle w:val="Corpodetexto"/>
        <w:spacing w:after="0"/>
        <w:ind w:right="108"/>
        <w:jc w:val="both"/>
      </w:pPr>
    </w:p>
    <w:p w14:paraId="3A7A65C3" w14:textId="77777777" w:rsidR="006B6F39" w:rsidRPr="006B6F39" w:rsidRDefault="006B6F39" w:rsidP="006B6F39">
      <w:pPr>
        <w:spacing w:after="120"/>
        <w:jc w:val="both"/>
        <w:rPr>
          <w:b/>
          <w:u w:val="single"/>
        </w:rPr>
      </w:pPr>
      <w:r w:rsidRPr="006B6F39">
        <w:rPr>
          <w:b/>
          <w:u w:val="single"/>
        </w:rPr>
        <w:t>Modalidade Licitatória: Pregão Eletrônico.</w:t>
      </w:r>
    </w:p>
    <w:p w14:paraId="049ECAA7" w14:textId="77777777" w:rsidR="006B6F39" w:rsidRPr="006B6F39" w:rsidRDefault="006B6F39" w:rsidP="006B6F39">
      <w:pPr>
        <w:pStyle w:val="Corpodetexto"/>
        <w:spacing w:after="0"/>
        <w:ind w:right="108"/>
        <w:jc w:val="both"/>
      </w:pPr>
      <w:r w:rsidRPr="006B6F39">
        <w:t>A licitação reger-se-á pelo disposto na Lei nº 10.520 de 17 de julho de 2002 (Lei do pregão) regulamentada pelo Decreto nº 10.024 de 20 de setembro 2019 (regulamento do E-pregão), e na Lei nº 13.303 de 30 junho de 2016 (Lei das Estatais), e respectivas alterações e regulamentos.</w:t>
      </w:r>
    </w:p>
    <w:p w14:paraId="5AD10FDB" w14:textId="77777777" w:rsidR="006B6F39" w:rsidRDefault="006B6F39" w:rsidP="006B6F39">
      <w:pPr>
        <w:pStyle w:val="Corpodetexto"/>
        <w:spacing w:after="0"/>
        <w:ind w:right="108"/>
        <w:jc w:val="both"/>
      </w:pPr>
      <w:r w:rsidRPr="006B6F39">
        <w:t xml:space="preserve">Justifica-se a modalidade licitatória de acordo com o Acórdão TCU nº 713/2019, Súmula TCU nº 257 e no Inciso IV do Artigo 32 da Lei 13.303, de 30 de junho de 2016, tendo em vista que o objeto deste </w:t>
      </w:r>
      <w:r>
        <w:t>PB</w:t>
      </w:r>
      <w:r w:rsidRPr="006B6F39">
        <w:t xml:space="preserve"> se trata de serviços comum com padrões de desempenho e qualidade definidos neste </w:t>
      </w:r>
      <w:r>
        <w:t>PB</w:t>
      </w:r>
      <w:r w:rsidRPr="006B6F39">
        <w:t>.</w:t>
      </w:r>
    </w:p>
    <w:p w14:paraId="215A1E53" w14:textId="77777777" w:rsidR="001304F2" w:rsidRDefault="001304F2" w:rsidP="00A17E9C">
      <w:pPr>
        <w:pStyle w:val="Corpodetexto"/>
        <w:spacing w:after="0"/>
        <w:ind w:right="108"/>
        <w:jc w:val="both"/>
      </w:pPr>
    </w:p>
    <w:p w14:paraId="194A20DC" w14:textId="77777777" w:rsidR="00AA23F9" w:rsidRPr="00BA1CBF" w:rsidRDefault="00AA23F9" w:rsidP="00BA6FD3">
      <w:pPr>
        <w:spacing w:after="120"/>
        <w:jc w:val="both"/>
        <w:rPr>
          <w:b/>
          <w:u w:val="single"/>
        </w:rPr>
      </w:pPr>
      <w:r w:rsidRPr="00BA1CBF">
        <w:rPr>
          <w:b/>
          <w:u w:val="single"/>
        </w:rPr>
        <w:t>Procedimento Licitatório:</w:t>
      </w:r>
    </w:p>
    <w:p w14:paraId="4BDB4F12" w14:textId="77777777" w:rsidR="006B6F39" w:rsidRDefault="00AA23F9" w:rsidP="006B6F39">
      <w:pPr>
        <w:pStyle w:val="Corpodetexto"/>
        <w:spacing w:after="0"/>
        <w:ind w:right="108"/>
        <w:jc w:val="both"/>
      </w:pPr>
      <w:r w:rsidRPr="006B6F39">
        <w:rPr>
          <w:u w:val="single"/>
        </w:rPr>
        <w:t>Sistema de Registro de Preços (SRP).</w:t>
      </w:r>
      <w:r>
        <w:t xml:space="preserve"> </w:t>
      </w:r>
      <w:r w:rsidR="006B6F39">
        <w:t>O</w:t>
      </w:r>
      <w:r w:rsidR="006B6F39" w:rsidRPr="006B6F39">
        <w:t xml:space="preserve"> </w:t>
      </w:r>
      <w:r w:rsidR="006B6F39">
        <w:t>procedimento</w:t>
      </w:r>
      <w:r w:rsidR="006B6F39" w:rsidRPr="006B6F39">
        <w:t xml:space="preserve"> </w:t>
      </w:r>
      <w:r w:rsidR="006B6F39">
        <w:t>licitatório</w:t>
      </w:r>
      <w:r w:rsidR="006B6F39" w:rsidRPr="006B6F39">
        <w:t xml:space="preserve"> </w:t>
      </w:r>
      <w:r w:rsidR="006B6F39">
        <w:t>auxiliar</w:t>
      </w:r>
      <w:r w:rsidR="006B6F39" w:rsidRPr="006B6F39">
        <w:t xml:space="preserve"> </w:t>
      </w:r>
      <w:r w:rsidR="006B6F39">
        <w:t>de</w:t>
      </w:r>
      <w:r w:rsidR="006B6F39" w:rsidRPr="006B6F39">
        <w:t xml:space="preserve"> </w:t>
      </w:r>
      <w:r w:rsidR="006B6F39">
        <w:t>SRP</w:t>
      </w:r>
      <w:r w:rsidR="006B6F39" w:rsidRPr="006B6F39">
        <w:t xml:space="preserve"> </w:t>
      </w:r>
      <w:r w:rsidR="006B6F39">
        <w:t>é</w:t>
      </w:r>
      <w:r w:rsidR="006B6F39" w:rsidRPr="006B6F39">
        <w:t xml:space="preserve"> </w:t>
      </w:r>
      <w:r w:rsidR="006B6F39">
        <w:t>definido</w:t>
      </w:r>
      <w:r w:rsidR="006B6F39" w:rsidRPr="006B6F39">
        <w:t xml:space="preserve"> </w:t>
      </w:r>
      <w:r w:rsidR="006B6F39">
        <w:t>na</w:t>
      </w:r>
      <w:r w:rsidR="006B6F39" w:rsidRPr="006B6F39">
        <w:t xml:space="preserve"> Lei </w:t>
      </w:r>
      <w:r w:rsidR="006B6F39">
        <w:t>nº</w:t>
      </w:r>
      <w:r w:rsidR="006B6F39" w:rsidRPr="006B6F39">
        <w:t xml:space="preserve"> </w:t>
      </w:r>
      <w:r w:rsidR="006B6F39">
        <w:t>10.520</w:t>
      </w:r>
      <w:r w:rsidR="006B6F39" w:rsidRPr="006B6F39">
        <w:t xml:space="preserve"> </w:t>
      </w:r>
      <w:r w:rsidR="006B6F39">
        <w:t>de</w:t>
      </w:r>
      <w:r w:rsidR="006B6F39" w:rsidRPr="006B6F39">
        <w:t xml:space="preserve"> </w:t>
      </w:r>
      <w:r w:rsidR="006B6F39">
        <w:t>17</w:t>
      </w:r>
      <w:r w:rsidR="006B6F39" w:rsidRPr="006B6F39">
        <w:t xml:space="preserve"> </w:t>
      </w:r>
      <w:r w:rsidR="006B6F39">
        <w:t>de</w:t>
      </w:r>
      <w:r w:rsidR="006B6F39" w:rsidRPr="006B6F39">
        <w:t xml:space="preserve"> </w:t>
      </w:r>
      <w:r w:rsidR="006B6F39">
        <w:t>julho</w:t>
      </w:r>
      <w:r w:rsidR="006B6F39" w:rsidRPr="006B6F39">
        <w:t xml:space="preserve"> </w:t>
      </w:r>
      <w:r w:rsidR="006B6F39">
        <w:t>de</w:t>
      </w:r>
      <w:r w:rsidR="006B6F39" w:rsidRPr="006B6F39">
        <w:t xml:space="preserve"> </w:t>
      </w:r>
      <w:r w:rsidR="006B6F39">
        <w:t>2002</w:t>
      </w:r>
      <w:r w:rsidR="006B6F39" w:rsidRPr="006B6F39">
        <w:t xml:space="preserve"> </w:t>
      </w:r>
      <w:r w:rsidR="006B6F39">
        <w:t>(Lei do pregão), na Lei nº 13.303, de 30 junho de 2016 (Lei das Estatais) e normas complementares. Justifica-se</w:t>
      </w:r>
      <w:r w:rsidR="006B6F39" w:rsidRPr="006B6F39">
        <w:t xml:space="preserve"> </w:t>
      </w:r>
      <w:r w:rsidR="006B6F39">
        <w:t>o</w:t>
      </w:r>
      <w:r w:rsidR="006B6F39" w:rsidRPr="006B6F39">
        <w:t xml:space="preserve"> </w:t>
      </w:r>
      <w:r w:rsidR="006B6F39">
        <w:t>procedimento</w:t>
      </w:r>
      <w:r w:rsidR="006B6F39" w:rsidRPr="006B6F39">
        <w:t xml:space="preserve"> </w:t>
      </w:r>
      <w:r w:rsidR="006B6F39">
        <w:t>licitatório</w:t>
      </w:r>
      <w:r w:rsidR="006B6F39" w:rsidRPr="006B6F39">
        <w:t xml:space="preserve"> </w:t>
      </w:r>
      <w:r w:rsidR="006B6F39">
        <w:t>devido</w:t>
      </w:r>
      <w:r w:rsidR="006B6F39" w:rsidRPr="006B6F39">
        <w:t xml:space="preserve"> </w:t>
      </w:r>
      <w:r w:rsidR="006B6F39">
        <w:t>a</w:t>
      </w:r>
      <w:r w:rsidR="006B6F39" w:rsidRPr="006B6F39">
        <w:t xml:space="preserve"> </w:t>
      </w:r>
      <w:r w:rsidR="006B6F39">
        <w:t>conveniência</w:t>
      </w:r>
      <w:r w:rsidR="006B6F39" w:rsidRPr="006B6F39">
        <w:t xml:space="preserve"> </w:t>
      </w:r>
      <w:r w:rsidR="006B6F39">
        <w:t>administrativa</w:t>
      </w:r>
      <w:r w:rsidR="006B6F39" w:rsidRPr="006B6F39">
        <w:t xml:space="preserve"> </w:t>
      </w:r>
      <w:r w:rsidR="006B6F39">
        <w:t>e</w:t>
      </w:r>
      <w:r w:rsidR="006B6F39" w:rsidRPr="006B6F39">
        <w:t xml:space="preserve"> </w:t>
      </w:r>
      <w:r w:rsidR="006B6F39">
        <w:t>as</w:t>
      </w:r>
      <w:r w:rsidR="006B6F39" w:rsidRPr="006B6F39">
        <w:t xml:space="preserve"> </w:t>
      </w:r>
      <w:r w:rsidR="006B6F39">
        <w:t>características</w:t>
      </w:r>
      <w:r w:rsidR="006B6F39" w:rsidRPr="006B6F39">
        <w:t xml:space="preserve"> </w:t>
      </w:r>
      <w:r w:rsidR="006B6F39">
        <w:t>do serviço,</w:t>
      </w:r>
      <w:r w:rsidR="006B6F39" w:rsidRPr="006B6F39">
        <w:t xml:space="preserve"> </w:t>
      </w:r>
      <w:r w:rsidR="006B6F39">
        <w:t>que</w:t>
      </w:r>
      <w:r w:rsidR="006B6F39" w:rsidRPr="006B6F39">
        <w:t xml:space="preserve"> </w:t>
      </w:r>
      <w:r w:rsidR="006B6F39">
        <w:t>será</w:t>
      </w:r>
      <w:r w:rsidR="006B6F39" w:rsidRPr="006B6F39">
        <w:t xml:space="preserve"> </w:t>
      </w:r>
      <w:r w:rsidR="006B6F39">
        <w:t>realizado</w:t>
      </w:r>
      <w:r w:rsidR="006B6F39" w:rsidRPr="006B6F39">
        <w:t xml:space="preserve"> </w:t>
      </w:r>
      <w:r w:rsidR="006B6F39">
        <w:t>por</w:t>
      </w:r>
      <w:r w:rsidR="006B6F39" w:rsidRPr="006B6F39">
        <w:t xml:space="preserve"> </w:t>
      </w:r>
      <w:r w:rsidR="006B6F39">
        <w:t>demanda</w:t>
      </w:r>
      <w:r w:rsidR="006B6F39" w:rsidRPr="006B6F39">
        <w:t xml:space="preserve"> </w:t>
      </w:r>
      <w:r w:rsidR="006B6F39">
        <w:t>justificada</w:t>
      </w:r>
      <w:r w:rsidR="006B6F39" w:rsidRPr="006B6F39">
        <w:t xml:space="preserve"> </w:t>
      </w:r>
      <w:r w:rsidR="006B6F39">
        <w:t>do</w:t>
      </w:r>
      <w:r w:rsidR="006B6F39" w:rsidRPr="006B6F39">
        <w:t xml:space="preserve"> </w:t>
      </w:r>
      <w:r w:rsidR="006B6F39">
        <w:t>Estado</w:t>
      </w:r>
      <w:r w:rsidR="006B6F39" w:rsidRPr="006B6F39">
        <w:t xml:space="preserve"> </w:t>
      </w:r>
      <w:r w:rsidR="006B6F39">
        <w:t>ou</w:t>
      </w:r>
      <w:r w:rsidR="006B6F39" w:rsidRPr="006B6F39">
        <w:t xml:space="preserve"> </w:t>
      </w:r>
      <w:r w:rsidR="006B6F39">
        <w:t>Município,</w:t>
      </w:r>
      <w:r w:rsidR="006B6F39" w:rsidRPr="006B6F39">
        <w:t xml:space="preserve"> </w:t>
      </w:r>
      <w:r w:rsidR="006B6F39">
        <w:t>com</w:t>
      </w:r>
      <w:r w:rsidR="006B6F39" w:rsidRPr="006B6F39">
        <w:t xml:space="preserve"> </w:t>
      </w:r>
      <w:r w:rsidR="006B6F39">
        <w:lastRenderedPageBreak/>
        <w:t>execução</w:t>
      </w:r>
      <w:r w:rsidR="006B6F39" w:rsidRPr="006B6F39">
        <w:t xml:space="preserve"> </w:t>
      </w:r>
      <w:r w:rsidR="006B6F39">
        <w:t>parcial por produtos previamente especificados e quantificados por unidade de medida padrão (m²), havendo necessidade de contratações</w:t>
      </w:r>
      <w:r w:rsidR="006B6F39" w:rsidRPr="006B6F39">
        <w:t xml:space="preserve"> </w:t>
      </w:r>
      <w:r w:rsidR="006B6F39">
        <w:t>frequentes.</w:t>
      </w:r>
    </w:p>
    <w:p w14:paraId="37753364" w14:textId="77777777" w:rsidR="00AA23F9" w:rsidRDefault="00AA23F9" w:rsidP="006B6F39">
      <w:pPr>
        <w:jc w:val="both"/>
      </w:pPr>
    </w:p>
    <w:p w14:paraId="2641529B" w14:textId="77777777" w:rsidR="00AA23F9" w:rsidRPr="00BA1CBF" w:rsidRDefault="00AA23F9" w:rsidP="00BA6FD3">
      <w:pPr>
        <w:spacing w:after="120"/>
        <w:jc w:val="both"/>
        <w:rPr>
          <w:u w:val="single"/>
        </w:rPr>
      </w:pPr>
      <w:r w:rsidRPr="00BA1CBF">
        <w:rPr>
          <w:b/>
          <w:u w:val="single"/>
        </w:rPr>
        <w:t>Divulgação da Intenção de Registro de Preços (IRP):</w:t>
      </w:r>
    </w:p>
    <w:p w14:paraId="330ABE87" w14:textId="77777777" w:rsidR="00AA23F9" w:rsidRPr="007D66F2" w:rsidRDefault="00AA23F9" w:rsidP="00BA6FD3">
      <w:pPr>
        <w:jc w:val="both"/>
      </w:pPr>
      <w:r w:rsidRPr="007D66F2">
        <w:rPr>
          <w:u w:val="single"/>
        </w:rPr>
        <w:t>Admitida</w:t>
      </w:r>
      <w:r w:rsidRPr="007D66F2">
        <w:t>. A divulgação da IRP é sempre preferencial, cabendo justificativa em caso de dispensa de divulgaç</w:t>
      </w:r>
      <w:r>
        <w:t xml:space="preserve">ão, conforme Artigo 4º do </w:t>
      </w:r>
      <w:r w:rsidRPr="007D66F2">
        <w:t>Decreto 7.892/2013</w:t>
      </w:r>
      <w:r>
        <w:t>.</w:t>
      </w:r>
    </w:p>
    <w:p w14:paraId="3E3C200D" w14:textId="77777777" w:rsidR="00AA23F9" w:rsidRPr="007D66F2" w:rsidRDefault="00AA23F9" w:rsidP="00BA6FD3">
      <w:pPr>
        <w:jc w:val="both"/>
      </w:pPr>
      <w:r w:rsidRPr="007D66F2">
        <w:t>Será admitida o número máximo de 10 participantes na IRP, conforme capacidade de gerenciamento da Codevasf, de acordo com Inciso I do Parágrafo 3º do Decreto 7.892/2013.</w:t>
      </w:r>
    </w:p>
    <w:p w14:paraId="23A678DA" w14:textId="77777777" w:rsidR="00AA23F9" w:rsidRPr="007D66F2" w:rsidRDefault="00AA23F9" w:rsidP="00BA6FD3">
      <w:pPr>
        <w:jc w:val="both"/>
      </w:pPr>
      <w:r w:rsidRPr="007D66F2">
        <w:t xml:space="preserve">Deverá ser considerado ínfimos os quantitativos abaixo de 6.000 m², que representa 5 Módulos Mínimos, devido a escala do objeto deste </w:t>
      </w:r>
      <w:r w:rsidR="00963AE2">
        <w:t>TR</w:t>
      </w:r>
      <w:r w:rsidRPr="007D66F2">
        <w:t>.</w:t>
      </w:r>
    </w:p>
    <w:p w14:paraId="44770CC6" w14:textId="77777777" w:rsidR="00AA23F9" w:rsidRDefault="00AA23F9" w:rsidP="00BA6FD3">
      <w:pPr>
        <w:jc w:val="both"/>
      </w:pPr>
      <w:r w:rsidRPr="007D66F2">
        <w:t>Poderá ser admitida inclusão posterior de participantes que não manifestaram interesse durante o período de divulgação da IRP, conforme justificativa dada a época.</w:t>
      </w:r>
    </w:p>
    <w:p w14:paraId="2631F002" w14:textId="77777777" w:rsidR="00BA6FD3" w:rsidRPr="007D66F2" w:rsidRDefault="00BA6FD3" w:rsidP="00BA6FD3">
      <w:pPr>
        <w:jc w:val="both"/>
      </w:pPr>
    </w:p>
    <w:p w14:paraId="64D13BAA" w14:textId="77777777" w:rsidR="00BA6FD3" w:rsidRPr="00BA1CBF" w:rsidRDefault="00BA6FD3" w:rsidP="00BA6FD3">
      <w:pPr>
        <w:spacing w:after="120"/>
        <w:jc w:val="both"/>
        <w:rPr>
          <w:b/>
          <w:u w:val="single"/>
        </w:rPr>
      </w:pPr>
      <w:r w:rsidRPr="00BA1CBF">
        <w:rPr>
          <w:b/>
          <w:u w:val="single"/>
        </w:rPr>
        <w:t>Modo de Disputa:</w:t>
      </w:r>
    </w:p>
    <w:p w14:paraId="49EAD8C6" w14:textId="77777777" w:rsidR="00BA6FD3" w:rsidRDefault="00BA6FD3" w:rsidP="00963AE2">
      <w:pPr>
        <w:jc w:val="both"/>
      </w:pPr>
      <w:r>
        <w:rPr>
          <w:u w:val="single"/>
        </w:rPr>
        <w:t>Aberto</w:t>
      </w:r>
      <w:r w:rsidRPr="00701D31">
        <w:rPr>
          <w:u w:val="single"/>
        </w:rPr>
        <w:t xml:space="preserve"> </w:t>
      </w:r>
      <w:r>
        <w:rPr>
          <w:u w:val="single"/>
        </w:rPr>
        <w:t>com o</w:t>
      </w:r>
      <w:r w:rsidRPr="00701D31">
        <w:rPr>
          <w:u w:val="single"/>
        </w:rPr>
        <w:t xml:space="preserve">rçamento </w:t>
      </w:r>
      <w:r>
        <w:rPr>
          <w:u w:val="single"/>
        </w:rPr>
        <w:t>p</w:t>
      </w:r>
      <w:r w:rsidRPr="00701D31">
        <w:rPr>
          <w:u w:val="single"/>
        </w:rPr>
        <w:t>úblico.</w:t>
      </w:r>
      <w:r>
        <w:t xml:space="preserve"> </w:t>
      </w:r>
      <w:r w:rsidRPr="00701D31">
        <w:t>Observando o princípio da publicidade. Conforme Acórdão nº 1502/2018 – Plenário TCU: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518B12F9" w14:textId="77777777" w:rsidR="00034E66" w:rsidRDefault="00034E66" w:rsidP="00963AE2">
      <w:pPr>
        <w:jc w:val="both"/>
      </w:pPr>
    </w:p>
    <w:p w14:paraId="5F63BBA3" w14:textId="50B456F5" w:rsidR="00034E66" w:rsidRPr="00187B11" w:rsidRDefault="00034E66" w:rsidP="00187B11">
      <w:pPr>
        <w:jc w:val="both"/>
        <w:rPr>
          <w:b/>
          <w:bCs/>
          <w:i/>
          <w:iCs/>
          <w:lang w:eastAsia="en-US"/>
        </w:rPr>
      </w:pPr>
      <w:r>
        <w:rPr>
          <w:b/>
          <w:bCs/>
        </w:rPr>
        <w:t xml:space="preserve">ABERTO, </w:t>
      </w:r>
      <w:r w:rsidRPr="00187B11">
        <w:rPr>
          <w:b/>
          <w:bCs/>
          <w:i/>
          <w:iCs/>
        </w:rPr>
        <w:t xml:space="preserve">com lance intermediário mínimo </w:t>
      </w:r>
      <w:r w:rsidRPr="006B3B9A">
        <w:rPr>
          <w:b/>
          <w:bCs/>
          <w:i/>
          <w:iCs/>
        </w:rPr>
        <w:t xml:space="preserve">no valor de </w:t>
      </w:r>
      <w:r w:rsidR="00225091">
        <w:rPr>
          <w:b/>
          <w:bCs/>
          <w:i/>
          <w:iCs/>
        </w:rPr>
        <w:t>0,5</w:t>
      </w:r>
      <w:r w:rsidRPr="006B3B9A">
        <w:rPr>
          <w:b/>
          <w:bCs/>
          <w:i/>
          <w:iCs/>
        </w:rPr>
        <w:t xml:space="preserve"> (</w:t>
      </w:r>
      <w:r w:rsidR="000E0CEC">
        <w:rPr>
          <w:b/>
          <w:bCs/>
          <w:i/>
          <w:iCs/>
        </w:rPr>
        <w:t>meio por cento</w:t>
      </w:r>
      <w:r w:rsidRPr="006B3B9A">
        <w:rPr>
          <w:b/>
          <w:bCs/>
          <w:i/>
          <w:iCs/>
        </w:rPr>
        <w:t>)</w:t>
      </w:r>
      <w:r w:rsidR="00225091">
        <w:rPr>
          <w:b/>
          <w:bCs/>
          <w:i/>
          <w:iCs/>
        </w:rPr>
        <w:t xml:space="preserve"> corresponden</w:t>
      </w:r>
      <w:r w:rsidR="000B0451">
        <w:rPr>
          <w:b/>
          <w:bCs/>
          <w:i/>
          <w:iCs/>
        </w:rPr>
        <w:t>te</w:t>
      </w:r>
      <w:r w:rsidR="00225091">
        <w:rPr>
          <w:b/>
          <w:bCs/>
          <w:i/>
          <w:iCs/>
        </w:rPr>
        <w:t xml:space="preserve"> ao</w:t>
      </w:r>
      <w:r w:rsidR="00F42022">
        <w:rPr>
          <w:b/>
          <w:bCs/>
          <w:i/>
          <w:iCs/>
        </w:rPr>
        <w:t xml:space="preserve"> valor do</w:t>
      </w:r>
      <w:r w:rsidR="00D7788E">
        <w:rPr>
          <w:b/>
          <w:bCs/>
          <w:i/>
          <w:iCs/>
        </w:rPr>
        <w:t xml:space="preserve"> </w:t>
      </w:r>
      <w:proofErr w:type="gramStart"/>
      <w:r w:rsidR="00D7788E">
        <w:rPr>
          <w:b/>
          <w:bCs/>
          <w:i/>
          <w:iCs/>
        </w:rPr>
        <w:t>modulo  mínimo</w:t>
      </w:r>
      <w:proofErr w:type="gramEnd"/>
      <w:r w:rsidR="00225091">
        <w:rPr>
          <w:b/>
          <w:bCs/>
          <w:i/>
          <w:iCs/>
        </w:rPr>
        <w:t xml:space="preserve"> orçado em planilha</w:t>
      </w:r>
      <w:r w:rsidR="00F42022">
        <w:rPr>
          <w:b/>
          <w:bCs/>
          <w:i/>
          <w:iCs/>
        </w:rPr>
        <w:t xml:space="preserve"> (Anexo VI)</w:t>
      </w:r>
      <w:r w:rsidRPr="006B3B9A">
        <w:rPr>
          <w:b/>
          <w:bCs/>
          <w:i/>
          <w:iCs/>
        </w:rPr>
        <w:t xml:space="preserve">, Art. 32 do Decreto 10.024/2019. </w:t>
      </w:r>
    </w:p>
    <w:p w14:paraId="10224C9C" w14:textId="77777777" w:rsidR="00963AE2" w:rsidRDefault="00963AE2" w:rsidP="00963AE2">
      <w:pPr>
        <w:jc w:val="both"/>
        <w:rPr>
          <w:b/>
          <w:u w:val="single"/>
        </w:rPr>
      </w:pPr>
    </w:p>
    <w:p w14:paraId="0EE1C1D6" w14:textId="77777777" w:rsidR="002A685E" w:rsidRDefault="002A685E" w:rsidP="00BA6FD3">
      <w:pPr>
        <w:spacing w:after="120"/>
        <w:jc w:val="both"/>
        <w:rPr>
          <w:b/>
          <w:u w:val="single"/>
        </w:rPr>
      </w:pPr>
      <w:r>
        <w:rPr>
          <w:b/>
          <w:u w:val="single"/>
        </w:rPr>
        <w:t>Critéro de Julgamento:</w:t>
      </w:r>
    </w:p>
    <w:p w14:paraId="05D5D4F6" w14:textId="77777777" w:rsidR="002A685E" w:rsidRDefault="00BA6FD3" w:rsidP="00BA6FD3">
      <w:pPr>
        <w:jc w:val="both"/>
      </w:pPr>
      <w:r>
        <w:t xml:space="preserve">Menor Preço por item. </w:t>
      </w:r>
      <w:r w:rsidR="002A685E">
        <w:t>Justifica-se o critério de julgamento com base no princípio da economicidade. A qualidade do serviço/obra não possui risco de ser afetado por se tratar de prestação de serviço comum de engenharia, com</w:t>
      </w:r>
      <w:r w:rsidR="002A685E" w:rsidRPr="00670C30">
        <w:t xml:space="preserve"> padrões de desempenho e qualidade</w:t>
      </w:r>
      <w:r w:rsidR="002A685E">
        <w:t xml:space="preserve"> mínimos definidos objetivamente </w:t>
      </w:r>
      <w:r w:rsidR="00593CD4">
        <w:t xml:space="preserve">o </w:t>
      </w:r>
      <w:r w:rsidR="00963AE2">
        <w:t>Termo de Referência</w:t>
      </w:r>
      <w:r w:rsidR="002A685E" w:rsidRPr="00670C30">
        <w:t>, para efeito de julgamento das propostas</w:t>
      </w:r>
      <w:r w:rsidR="002A685E">
        <w:t>, execução do objeto e fiscalização do contrato</w:t>
      </w:r>
      <w:r w:rsidR="002A685E" w:rsidRPr="00670C30">
        <w:t>.</w:t>
      </w:r>
    </w:p>
    <w:p w14:paraId="775786E7" w14:textId="77777777" w:rsidR="002A685E" w:rsidRDefault="002A685E" w:rsidP="00BA6FD3">
      <w:pPr>
        <w:jc w:val="both"/>
        <w:rPr>
          <w:b/>
          <w:u w:val="single"/>
        </w:rPr>
      </w:pPr>
    </w:p>
    <w:p w14:paraId="73DF4C31" w14:textId="77777777" w:rsidR="002A685E" w:rsidRDefault="00B22393" w:rsidP="00BA6FD3">
      <w:pPr>
        <w:spacing w:after="120"/>
        <w:jc w:val="both"/>
      </w:pPr>
      <w:r w:rsidRPr="00BC42FE">
        <w:rPr>
          <w:b/>
          <w:u w:val="single"/>
        </w:rPr>
        <w:t>Regime de execução - Empreitada por Preços Unitários</w:t>
      </w:r>
      <w:r w:rsidRPr="00BC42FE">
        <w:t xml:space="preserve">: </w:t>
      </w:r>
    </w:p>
    <w:p w14:paraId="587AF2CE" w14:textId="77777777" w:rsidR="001304F2" w:rsidRDefault="001304F2" w:rsidP="001304F2">
      <w:pPr>
        <w:jc w:val="both"/>
      </w:pPr>
      <w:r>
        <w:t>O pagamento será por medições das unidades padrão (m²) efetivamente executadas. Este regime de execução é o mais apropriado para o objeto da licitação, pois será pago somente os serviços efetivamente executados, mediante medições periódicas, dos preços unitários demandados pela CODEVASF e efetivamente executados pela CONTRATADA.</w:t>
      </w:r>
    </w:p>
    <w:p w14:paraId="7FC19E2D" w14:textId="77777777" w:rsidR="00B22393" w:rsidRDefault="00B22393" w:rsidP="00BA6FD3">
      <w:pPr>
        <w:jc w:val="both"/>
      </w:pPr>
    </w:p>
    <w:p w14:paraId="41DE2047" w14:textId="77777777" w:rsidR="00BA6FD3" w:rsidRDefault="00AA23F9" w:rsidP="00BA6FD3">
      <w:pPr>
        <w:spacing w:after="120"/>
        <w:jc w:val="both"/>
      </w:pPr>
      <w:r w:rsidRPr="00BC42FE">
        <w:rPr>
          <w:b/>
          <w:u w:val="single"/>
        </w:rPr>
        <w:t>Divulgação do valor orçado</w:t>
      </w:r>
      <w:r w:rsidRPr="00BC42FE">
        <w:rPr>
          <w:b/>
        </w:rPr>
        <w:t>:</w:t>
      </w:r>
      <w:r w:rsidRPr="00BC42FE">
        <w:t xml:space="preserve"> </w:t>
      </w:r>
    </w:p>
    <w:p w14:paraId="01892E6C" w14:textId="77777777" w:rsidR="00AA23F9" w:rsidRPr="00BC42FE" w:rsidRDefault="00AA23F9" w:rsidP="00BA6FD3">
      <w:pPr>
        <w:jc w:val="both"/>
      </w:pPr>
      <w:r w:rsidRPr="00BC42FE">
        <w:t>Será divulgado o valor orçado para servir como base, tendo em vista que o critério de julgamento é de menor preço.</w:t>
      </w:r>
    </w:p>
    <w:p w14:paraId="06C6848F" w14:textId="77777777" w:rsidR="00AA23F9" w:rsidRPr="00331F86" w:rsidRDefault="00AA23F9" w:rsidP="00BA6FD3">
      <w:pPr>
        <w:spacing w:before="120" w:after="240"/>
        <w:jc w:val="both"/>
      </w:pPr>
      <w:r w:rsidRPr="00331F86">
        <w:t xml:space="preserve">O valor estimado para a contratação foi elaborado com base no </w:t>
      </w:r>
      <w:r w:rsidRPr="00BC42FE">
        <w:t xml:space="preserve">Sistema de Preços, Custos e Índices </w:t>
      </w:r>
      <w:r>
        <w:t>da</w:t>
      </w:r>
      <w:r w:rsidRPr="00BC42FE">
        <w:t xml:space="preserve"> </w:t>
      </w:r>
      <w:r w:rsidRPr="00331F86">
        <w:t xml:space="preserve">Caixa Econômica Federal (SINAPI), </w:t>
      </w:r>
      <w:r>
        <w:t xml:space="preserve">no estado do Maranhão </w:t>
      </w:r>
      <w:r w:rsidRPr="00331F86">
        <w:t xml:space="preserve">na data base </w:t>
      </w:r>
      <w:r w:rsidR="00963AE2">
        <w:t>Jun</w:t>
      </w:r>
      <w:r w:rsidRPr="00593CD4">
        <w:t>/2020,</w:t>
      </w:r>
      <w:r w:rsidRPr="00331F86">
        <w:t xml:space="preserve"> não desonerado atendendo ao disposto na Lei nº 13.080 de 02/01/2015 (LDO 2015) e no decreto nº </w:t>
      </w:r>
      <w:r>
        <w:t>7.983 de 08/04/2013. Já incluso</w:t>
      </w:r>
      <w:r w:rsidRPr="00331F86">
        <w:t xml:space="preserve"> o BDI, encargos sociais, taxas, impostos e emolumentos. Para os serviços e materiais não constantes nos sistemas de custos citados acima, foram efetuadas pesquisas de mercado, além de composição de preços unitários elaborados pela Codevasf.</w:t>
      </w:r>
    </w:p>
    <w:p w14:paraId="08D81295" w14:textId="77777777" w:rsidR="00B22393" w:rsidRPr="00BC42FE" w:rsidRDefault="00B22393" w:rsidP="00BA6FD3">
      <w:pPr>
        <w:spacing w:after="120"/>
        <w:jc w:val="both"/>
      </w:pPr>
      <w:r w:rsidRPr="00BC42FE">
        <w:rPr>
          <w:b/>
          <w:u w:val="single"/>
        </w:rPr>
        <w:t>Declaração de compatibilidade com o Plano Plurianual</w:t>
      </w:r>
      <w:r w:rsidRPr="00BC42FE">
        <w:t>:</w:t>
      </w:r>
    </w:p>
    <w:p w14:paraId="644D98AF" w14:textId="77777777" w:rsidR="00B22393" w:rsidRPr="00BC42FE" w:rsidRDefault="00B22393" w:rsidP="00BA6FD3">
      <w:pPr>
        <w:jc w:val="both"/>
      </w:pPr>
      <w:r w:rsidRPr="00BC42FE">
        <w:t xml:space="preserve">Os serviços a serem contratados serão executados no prazo NÃO superior a um ano, conforme consta </w:t>
      </w:r>
      <w:r w:rsidR="006B3B9A">
        <w:t>n</w:t>
      </w:r>
      <w:r w:rsidRPr="00BC42FE">
        <w:t xml:space="preserve">o </w:t>
      </w:r>
      <w:r w:rsidR="006B3B9A">
        <w:t>Termo de Referência</w:t>
      </w:r>
      <w:r w:rsidRPr="00BC42FE">
        <w:t xml:space="preserve"> e a previsão de recursos orçamentários é compatível, conforme previsto no Plano Plurianual.</w:t>
      </w:r>
    </w:p>
    <w:p w14:paraId="0FE75CC3" w14:textId="77777777" w:rsidR="00B22393" w:rsidRPr="00BC42FE" w:rsidRDefault="00B22393" w:rsidP="00BA6FD3">
      <w:pPr>
        <w:jc w:val="both"/>
      </w:pPr>
      <w:r w:rsidRPr="00BC42FE">
        <w:t>Registra-se ainda que para o caso do Sistema de Registro de Preços, o Art. 7º do Decreto nº. 7.892, de 23.01.13, não é necessário indicar a dotação orçamentária que somente será exigida para a formalização do Contrato.</w:t>
      </w:r>
    </w:p>
    <w:p w14:paraId="39DE6547" w14:textId="77777777" w:rsidR="00B22393" w:rsidRPr="00BC42FE" w:rsidRDefault="00B22393" w:rsidP="001304F2">
      <w:pPr>
        <w:ind w:left="708" w:firstLine="708"/>
        <w:jc w:val="both"/>
        <w:rPr>
          <w:i/>
        </w:rPr>
      </w:pPr>
      <w:r w:rsidRPr="00BC42FE">
        <w:rPr>
          <w:i/>
        </w:rPr>
        <w:t xml:space="preserve">Art. 7º - A licitação para registro de preços será realizada na modalidade de concorrência, do tipo menor preço, nos termos da Lei nº 8.666, de 1993, ou na modalidade de pregão, nos termos da Lei nº 10.520, de 2002, e será precedida de ampla pesquisa de mercado. </w:t>
      </w:r>
    </w:p>
    <w:p w14:paraId="23E036BA" w14:textId="77777777" w:rsidR="00B22393" w:rsidRDefault="00B22393" w:rsidP="001304F2">
      <w:pPr>
        <w:ind w:left="708"/>
        <w:jc w:val="both"/>
        <w:rPr>
          <w:i/>
        </w:rPr>
      </w:pPr>
      <w:r w:rsidRPr="00BC42FE">
        <w:rPr>
          <w:i/>
        </w:rPr>
        <w:t>§ 2º - Na licitação para registro de preços não é necessário indicar a dotação orçamentária, que somente será exigida para a formalização do contrato ou outro instrumento hábil.</w:t>
      </w:r>
    </w:p>
    <w:p w14:paraId="6BA0408E" w14:textId="77777777" w:rsidR="00963AE2" w:rsidRDefault="00963AE2" w:rsidP="001304F2">
      <w:pPr>
        <w:ind w:left="708"/>
        <w:jc w:val="both"/>
        <w:rPr>
          <w:i/>
        </w:rPr>
      </w:pPr>
    </w:p>
    <w:p w14:paraId="7DD97042" w14:textId="77777777" w:rsidR="00963AE2" w:rsidRPr="00BC42FE" w:rsidRDefault="00963AE2" w:rsidP="001304F2">
      <w:pPr>
        <w:ind w:left="708"/>
        <w:jc w:val="both"/>
      </w:pPr>
    </w:p>
    <w:p w14:paraId="19B48ABE" w14:textId="77777777" w:rsidR="00B22393" w:rsidRPr="00BC42FE" w:rsidRDefault="00B22393" w:rsidP="00BA6FD3">
      <w:pPr>
        <w:jc w:val="both"/>
      </w:pPr>
    </w:p>
    <w:p w14:paraId="3E3B4AC1" w14:textId="77777777" w:rsidR="00BA6FD3" w:rsidRDefault="00B22393" w:rsidP="00BA6FD3">
      <w:pPr>
        <w:spacing w:after="120"/>
        <w:jc w:val="both"/>
      </w:pPr>
      <w:r w:rsidRPr="00BC42FE">
        <w:rPr>
          <w:b/>
          <w:u w:val="single"/>
        </w:rPr>
        <w:t>Desapropriação</w:t>
      </w:r>
      <w:r w:rsidRPr="00BC42FE">
        <w:t xml:space="preserve">: </w:t>
      </w:r>
    </w:p>
    <w:p w14:paraId="03AF9CA4" w14:textId="77777777" w:rsidR="00B22393" w:rsidRPr="00BC42FE" w:rsidRDefault="00B22393" w:rsidP="00BA6FD3">
      <w:pPr>
        <w:jc w:val="both"/>
      </w:pPr>
      <w:r w:rsidRPr="00BC42FE">
        <w:t>Não aplicável, tendo em vista que não será necessária a desapropriação de imóveis particulares, assim sendo desnecessária a elaboração do Projeto de Desapropriação.</w:t>
      </w:r>
    </w:p>
    <w:p w14:paraId="031900D8" w14:textId="77777777" w:rsidR="00B22393" w:rsidRPr="00BC42FE" w:rsidRDefault="00B22393" w:rsidP="00BA6FD3">
      <w:pPr>
        <w:jc w:val="both"/>
      </w:pPr>
    </w:p>
    <w:p w14:paraId="714219F6" w14:textId="77777777" w:rsidR="00BA6FD3" w:rsidRDefault="00B22393" w:rsidP="00BA6FD3">
      <w:pPr>
        <w:spacing w:after="120"/>
        <w:jc w:val="both"/>
      </w:pPr>
      <w:r w:rsidRPr="00BC42FE">
        <w:rPr>
          <w:b/>
          <w:u w:val="single"/>
        </w:rPr>
        <w:t>Garantia do Objeto</w:t>
      </w:r>
      <w:r w:rsidRPr="00BC42FE">
        <w:t xml:space="preserve">: </w:t>
      </w:r>
    </w:p>
    <w:p w14:paraId="0FEAD4C1" w14:textId="77777777" w:rsidR="00B22393" w:rsidRPr="00BC42FE" w:rsidRDefault="00B22393" w:rsidP="00BA6FD3">
      <w:pPr>
        <w:jc w:val="both"/>
      </w:pPr>
      <w:r w:rsidRPr="00BC42FE">
        <w:t xml:space="preserve">A garantia do objeto deverá obedecer ao prazo definido no Art. 618 do Código Civil, Lei nº 10.406 de 10 de janeiro de 2002. </w:t>
      </w:r>
      <w:r w:rsidR="00926490">
        <w:t>A</w:t>
      </w:r>
      <w:r w:rsidRPr="00BC42FE">
        <w:t xml:space="preserve"> </w:t>
      </w:r>
      <w:r w:rsidR="00926490">
        <w:t>CONTRATADA</w:t>
      </w:r>
      <w:r w:rsidRPr="00BC42FE">
        <w:t xml:space="preserve"> responderá durante cinco anos, pela solidez e segurança do trabalho.</w:t>
      </w:r>
    </w:p>
    <w:p w14:paraId="3EF0A730" w14:textId="77777777" w:rsidR="00B22393" w:rsidRPr="00BC42FE" w:rsidRDefault="00B22393" w:rsidP="00BA6FD3">
      <w:pPr>
        <w:jc w:val="both"/>
      </w:pPr>
    </w:p>
    <w:p w14:paraId="314AA352" w14:textId="77777777" w:rsidR="00BA6FD3" w:rsidRDefault="00B22393" w:rsidP="00BA6FD3">
      <w:pPr>
        <w:spacing w:after="120"/>
        <w:jc w:val="both"/>
      </w:pPr>
      <w:r w:rsidRPr="00BC42FE">
        <w:rPr>
          <w:b/>
          <w:u w:val="single"/>
        </w:rPr>
        <w:t>Garantia de Execução (caução)</w:t>
      </w:r>
      <w:r w:rsidRPr="00BC42FE">
        <w:t xml:space="preserve">: </w:t>
      </w:r>
    </w:p>
    <w:p w14:paraId="17685430" w14:textId="77777777" w:rsidR="00B22393" w:rsidRPr="00BC42FE" w:rsidRDefault="00B22393" w:rsidP="00BA6FD3">
      <w:pPr>
        <w:jc w:val="both"/>
      </w:pPr>
      <w:r w:rsidRPr="00BC42FE">
        <w:t>É necessário para fins de emissão da Ordem de Serviço que a empresa contr</w:t>
      </w:r>
      <w:r w:rsidR="00BA6FD3">
        <w:t xml:space="preserve">atada tenha apresentado a </w:t>
      </w:r>
      <w:r w:rsidRPr="00BC42FE">
        <w:t>Garantia de Execução do Contrato</w:t>
      </w:r>
      <w:r w:rsidR="00926490">
        <w:t>.</w:t>
      </w:r>
      <w:r w:rsidR="00B64471">
        <w:t xml:space="preserve"> Ao qual deverá ser realizado antes da assinatura do contrato.</w:t>
      </w:r>
    </w:p>
    <w:p w14:paraId="18726F49" w14:textId="77777777" w:rsidR="00B22393" w:rsidRPr="00BC42FE" w:rsidRDefault="00B22393" w:rsidP="00BA6FD3">
      <w:pPr>
        <w:jc w:val="both"/>
      </w:pPr>
    </w:p>
    <w:p w14:paraId="7923FFAF" w14:textId="77777777" w:rsidR="00BA6FD3" w:rsidRPr="00AB5071" w:rsidRDefault="00B22393" w:rsidP="00BA6FD3">
      <w:pPr>
        <w:spacing w:after="120"/>
        <w:jc w:val="both"/>
      </w:pPr>
      <w:r w:rsidRPr="00AB5071">
        <w:rPr>
          <w:b/>
          <w:u w:val="single"/>
        </w:rPr>
        <w:t>Aprovação do Projeto Básico e Planilhas Orçamentárias (Custo)</w:t>
      </w:r>
      <w:r w:rsidRPr="00AB5071">
        <w:t xml:space="preserve">: </w:t>
      </w:r>
    </w:p>
    <w:p w14:paraId="7514D74E" w14:textId="77777777" w:rsidR="00B22393" w:rsidRDefault="00B22393" w:rsidP="00BA6FD3">
      <w:pPr>
        <w:jc w:val="both"/>
        <w:rPr>
          <w:lang w:eastAsia="pt-BR"/>
        </w:rPr>
      </w:pPr>
      <w:r w:rsidRPr="00AB5071">
        <w:t>A</w:t>
      </w:r>
      <w:r w:rsidR="00AA23F9" w:rsidRPr="00AB5071">
        <w:t xml:space="preserve"> aprovação d</w:t>
      </w:r>
      <w:r w:rsidRPr="00AB5071">
        <w:t xml:space="preserve">o projeto </w:t>
      </w:r>
      <w:r w:rsidR="00963AE2">
        <w:t xml:space="preserve">básico </w:t>
      </w:r>
      <w:r w:rsidRPr="00AB5071">
        <w:t xml:space="preserve">presente nesse </w:t>
      </w:r>
      <w:r w:rsidR="00963AE2">
        <w:t>Termo de Referência</w:t>
      </w:r>
      <w:r w:rsidR="00AA23F9" w:rsidRPr="00AB5071">
        <w:t xml:space="preserve">. Foi aprovado pela autoridade competente com base em pareceres técnicos presente no processo n°59580.000253/2020-02. </w:t>
      </w:r>
      <w:r w:rsidRPr="00AB5071">
        <w:t xml:space="preserve"> </w:t>
      </w:r>
      <w:r w:rsidR="00AA23F9" w:rsidRPr="00AB5071">
        <w:t>O</w:t>
      </w:r>
      <w:r w:rsidRPr="00AB5071">
        <w:t>s custos apresentados nas Planilhas Orçamentárias (Anexo VI), sendo condizentes com os de mercado e referenciados nas planilhas oficiais de custo, conforme Decreto n</w:t>
      </w:r>
      <w:r w:rsidRPr="00AB5071">
        <w:rPr>
          <w:vertAlign w:val="superscript"/>
        </w:rPr>
        <w:t>o</w:t>
      </w:r>
      <w:r w:rsidRPr="00AB5071">
        <w:t xml:space="preserve"> 7.983 de 08.04.2013, no valor de </w:t>
      </w:r>
      <w:r w:rsidRPr="00AB5071">
        <w:rPr>
          <w:b/>
          <w:lang w:eastAsia="pt-BR"/>
        </w:rPr>
        <w:t xml:space="preserve">R$ </w:t>
      </w:r>
      <w:r w:rsidR="00963AE2" w:rsidRPr="00963AE2">
        <w:rPr>
          <w:b/>
        </w:rPr>
        <w:t>24.054.575,20</w:t>
      </w:r>
      <w:r w:rsidR="00963AE2" w:rsidRPr="00AB5071">
        <w:rPr>
          <w:b/>
          <w:lang w:eastAsia="pt-BR"/>
        </w:rPr>
        <w:t xml:space="preserve"> </w:t>
      </w:r>
      <w:r w:rsidR="00926490" w:rsidRPr="00AB5071">
        <w:rPr>
          <w:b/>
          <w:lang w:eastAsia="pt-BR"/>
        </w:rPr>
        <w:t>(</w:t>
      </w:r>
      <w:r w:rsidR="00963AE2" w:rsidRPr="00963AE2">
        <w:rPr>
          <w:b/>
        </w:rPr>
        <w:t>Vinte e quatro milhões e cinquenta e quatro mil e quinhentos e setenta e cinco reais e vinte centavos</w:t>
      </w:r>
      <w:r w:rsidR="00926490" w:rsidRPr="00AB5071">
        <w:rPr>
          <w:b/>
          <w:lang w:eastAsia="pt-BR"/>
        </w:rPr>
        <w:t>)</w:t>
      </w:r>
      <w:r w:rsidRPr="00AB5071">
        <w:rPr>
          <w:b/>
          <w:lang w:eastAsia="pt-BR"/>
        </w:rPr>
        <w:t xml:space="preserve">, </w:t>
      </w:r>
      <w:r w:rsidRPr="00AB5071">
        <w:rPr>
          <w:lang w:eastAsia="pt-BR"/>
        </w:rPr>
        <w:t xml:space="preserve">com data-base de </w:t>
      </w:r>
      <w:r w:rsidR="00963AE2">
        <w:rPr>
          <w:lang w:eastAsia="pt-BR"/>
        </w:rPr>
        <w:t>junho</w:t>
      </w:r>
      <w:r w:rsidRPr="00AB5071">
        <w:rPr>
          <w:lang w:eastAsia="pt-BR"/>
        </w:rPr>
        <w:t>/20</w:t>
      </w:r>
      <w:r w:rsidR="00926490" w:rsidRPr="00AB5071">
        <w:rPr>
          <w:lang w:eastAsia="pt-BR"/>
        </w:rPr>
        <w:t>20</w:t>
      </w:r>
      <w:r w:rsidRPr="00AB5071">
        <w:rPr>
          <w:lang w:eastAsia="pt-BR"/>
        </w:rPr>
        <w:t>.</w:t>
      </w:r>
    </w:p>
    <w:p w14:paraId="3B94B98E" w14:textId="77777777" w:rsidR="00BA6FD3" w:rsidRDefault="00BA6FD3" w:rsidP="00BA6FD3">
      <w:pPr>
        <w:jc w:val="both"/>
        <w:rPr>
          <w:lang w:eastAsia="pt-BR"/>
        </w:rPr>
      </w:pPr>
    </w:p>
    <w:p w14:paraId="539F5DEB" w14:textId="77777777" w:rsidR="00BA6FD3" w:rsidRDefault="00B22393" w:rsidP="00BA1CBF">
      <w:pPr>
        <w:suppressAutoHyphens w:val="0"/>
        <w:spacing w:after="120"/>
        <w:rPr>
          <w:b/>
        </w:rPr>
      </w:pPr>
      <w:r w:rsidRPr="00BC42FE">
        <w:rPr>
          <w:b/>
          <w:u w:val="single"/>
        </w:rPr>
        <w:t>Qualificação Técnica</w:t>
      </w:r>
      <w:r w:rsidRPr="00BC42FE">
        <w:rPr>
          <w:b/>
        </w:rPr>
        <w:t xml:space="preserve">: </w:t>
      </w:r>
    </w:p>
    <w:p w14:paraId="23E2D857" w14:textId="77777777" w:rsidR="00B22393" w:rsidRDefault="00B22393" w:rsidP="00BA6FD3">
      <w:pPr>
        <w:jc w:val="both"/>
      </w:pPr>
      <w:r w:rsidRPr="00BC42FE">
        <w:t>As exigências técnicas são imprescindíveis para que a vencedora do certame em questão tenha total capacidade técnica de executar os serviços de engenharia com a segurança e a qualidade esperada para o empreendimento.</w:t>
      </w:r>
    </w:p>
    <w:p w14:paraId="50923E86" w14:textId="77777777" w:rsidR="00947EDF" w:rsidRDefault="00947EDF" w:rsidP="00BA6FD3">
      <w:pPr>
        <w:spacing w:before="120" w:after="120"/>
        <w:jc w:val="both"/>
      </w:pPr>
      <w:r>
        <w:t xml:space="preserve">Os </w:t>
      </w:r>
      <w:r w:rsidRPr="00331F86">
        <w:t>Atestado(s) de capacidade técnica, em nome d</w:t>
      </w:r>
      <w:r>
        <w:t>o profissional</w:t>
      </w:r>
      <w:r w:rsidRPr="00331F86">
        <w:t xml:space="preserve">, </w:t>
      </w:r>
      <w:r w:rsidRPr="00296C5C">
        <w:t>acompanhado(s) da(s) respectiva(s) Certidão(ões) de Acervo Técnico – CAT – dos profissionais, expedida(s) pelo CREA da região onde os serviços foram executados</w:t>
      </w:r>
      <w:r w:rsidRPr="00331F86">
        <w:rPr>
          <w:u w:val="single"/>
        </w:rPr>
        <w:t>,</w:t>
      </w:r>
      <w:r w:rsidRPr="00331F86">
        <w:t xml:space="preserve"> que comprove que o licitante tenha executado </w:t>
      </w:r>
      <w:r w:rsidRPr="00331F86">
        <w:rPr>
          <w:szCs w:val="22"/>
        </w:rPr>
        <w:t xml:space="preserve">serviços similares de porte e complexidade ao objeto do </w:t>
      </w:r>
      <w:r w:rsidR="00963AE2">
        <w:rPr>
          <w:szCs w:val="22"/>
        </w:rPr>
        <w:t>TR</w:t>
      </w:r>
      <w:r w:rsidRPr="00331F86">
        <w:rPr>
          <w:bCs/>
          <w:iCs/>
        </w:rPr>
        <w:t xml:space="preserve">, </w:t>
      </w:r>
      <w:r>
        <w:t>foram escolhidos conforme especificações da obra, obedendo o limite de 10% os quantitativos e ainda respeitando a curva ABC.</w:t>
      </w:r>
    </w:p>
    <w:p w14:paraId="15756802" w14:textId="77777777" w:rsidR="00947EDF" w:rsidRDefault="00947EDF" w:rsidP="00BA6FD3">
      <w:pPr>
        <w:spacing w:before="120" w:after="240"/>
        <w:jc w:val="both"/>
      </w:pPr>
      <w:r>
        <w:t xml:space="preserve">A demonstração do conhecimento do ramo e atividade objeto do </w:t>
      </w:r>
      <w:r w:rsidR="00963AE2">
        <w:t>TR</w:t>
      </w:r>
      <w:r>
        <w:t xml:space="preserve"> por se tratar de serviços de engenharia é requisitado o r</w:t>
      </w:r>
      <w:r w:rsidRPr="00331F86">
        <w:t>egistro ou inscrição da empresa no Conselho Regional de Engenharia e Agronomia (CREA</w:t>
      </w:r>
      <w:r>
        <w:t>).</w:t>
      </w:r>
    </w:p>
    <w:p w14:paraId="5423D996" w14:textId="77777777" w:rsidR="00BA6FD3" w:rsidRPr="00AB5071" w:rsidRDefault="00B22393" w:rsidP="00BA6FD3">
      <w:pPr>
        <w:spacing w:after="120"/>
        <w:jc w:val="both"/>
      </w:pPr>
      <w:r w:rsidRPr="00AB5071">
        <w:rPr>
          <w:b/>
          <w:u w:val="single"/>
        </w:rPr>
        <w:t>Licença Ambiental</w:t>
      </w:r>
      <w:r w:rsidRPr="00AB5071">
        <w:rPr>
          <w:b/>
        </w:rPr>
        <w:t>:</w:t>
      </w:r>
    </w:p>
    <w:p w14:paraId="7E5F268E" w14:textId="77777777" w:rsidR="00022501" w:rsidRPr="00AB5071" w:rsidRDefault="00022501" w:rsidP="00022501">
      <w:pPr>
        <w:jc w:val="both"/>
      </w:pPr>
      <w:r w:rsidRPr="00AB5071">
        <w:t xml:space="preserve">A Codevasf solicitará a Anuência Ambiental (Licença Ambiental ou Dispensa de Licenciamento) junto ao estado e ou município ao qual serão executados os serviços de engenharia objeto desse </w:t>
      </w:r>
      <w:r w:rsidR="002054C6">
        <w:t>TR</w:t>
      </w:r>
      <w:r w:rsidRPr="00AB5071">
        <w:t>, por meio do órgão responsável pela emissão da mesma. A Ordem de Serviço somente será emitida após a obtenção da citada Anuência Ambiental.</w:t>
      </w:r>
    </w:p>
    <w:p w14:paraId="23571856" w14:textId="77777777" w:rsidR="00022501" w:rsidRPr="00022501" w:rsidRDefault="00022501" w:rsidP="00022501">
      <w:pPr>
        <w:jc w:val="both"/>
      </w:pPr>
      <w:r w:rsidRPr="00AB5071">
        <w:t>Obs.: Quando dispensável a licença deverá ser indicada, e anexada ao processo, a base legal da dispensa.</w:t>
      </w:r>
    </w:p>
    <w:p w14:paraId="5F4D73BB" w14:textId="77777777" w:rsidR="00B22393" w:rsidRPr="00BC42FE" w:rsidRDefault="00B22393" w:rsidP="00BA6FD3">
      <w:pPr>
        <w:jc w:val="both"/>
        <w:rPr>
          <w:b/>
        </w:rPr>
      </w:pPr>
    </w:p>
    <w:p w14:paraId="395DBAA1" w14:textId="77777777" w:rsidR="00E90D52" w:rsidRDefault="00EA344D" w:rsidP="00BA6FD3">
      <w:pPr>
        <w:jc w:val="both"/>
      </w:pPr>
      <w:r w:rsidRPr="006C010E">
        <w:rPr>
          <w:b/>
          <w:u w:val="single"/>
        </w:rPr>
        <w:t>Permite Participação de Consórcios</w:t>
      </w:r>
      <w:r w:rsidRPr="000845A2">
        <w:t>:</w:t>
      </w:r>
      <w:r>
        <w:t xml:space="preserve"> </w:t>
      </w:r>
    </w:p>
    <w:p w14:paraId="5BCD8954" w14:textId="77777777" w:rsidR="00010EA0" w:rsidRDefault="00EA344D" w:rsidP="00BA6FD3">
      <w:pPr>
        <w:spacing w:before="120" w:after="240"/>
        <w:jc w:val="both"/>
      </w:pPr>
      <w:r w:rsidRPr="000845A2">
        <w:t xml:space="preserve">Nesta </w:t>
      </w:r>
      <w:r w:rsidR="00E90D52">
        <w:t xml:space="preserve">processo licitatório </w:t>
      </w:r>
      <w:r w:rsidR="00E97664" w:rsidRPr="00B22393">
        <w:rPr>
          <w:b/>
        </w:rPr>
        <w:t xml:space="preserve">não </w:t>
      </w:r>
      <w:r w:rsidRPr="00B22393">
        <w:rPr>
          <w:b/>
        </w:rPr>
        <w:t>será admitida a participação de Consórcio</w:t>
      </w:r>
      <w:r w:rsidRPr="000845A2">
        <w:t xml:space="preserve"> de </w:t>
      </w:r>
      <w:r w:rsidR="00E90D52">
        <w:t>02 (d</w:t>
      </w:r>
      <w:r w:rsidR="003A4CDD">
        <w:t>uas</w:t>
      </w:r>
      <w:r w:rsidR="00E90D52">
        <w:t>) ou mais</w:t>
      </w:r>
      <w:r>
        <w:t xml:space="preserve"> </w:t>
      </w:r>
      <w:r w:rsidRPr="000845A2">
        <w:t xml:space="preserve">empresas levando-se em consideração que o objeto da licitação </w:t>
      </w:r>
      <w:r w:rsidR="00947EDF">
        <w:t xml:space="preserve">é a </w:t>
      </w:r>
      <w:r w:rsidR="00DB7BB1">
        <w:t>pavimentação em blocos intertravados de concreto</w:t>
      </w:r>
      <w:r w:rsidRPr="000845A2">
        <w:t xml:space="preserve">, </w:t>
      </w:r>
      <w:r w:rsidR="00BE65FF">
        <w:t xml:space="preserve">trata-se de </w:t>
      </w:r>
      <w:r w:rsidR="00225091">
        <w:t>vários</w:t>
      </w:r>
      <w:r w:rsidR="003A4CDD">
        <w:t xml:space="preserve"> </w:t>
      </w:r>
      <w:r w:rsidR="00DB7BB1">
        <w:t>serviços de engenharia</w:t>
      </w:r>
      <w:r w:rsidR="00947EDF">
        <w:t xml:space="preserve"> de</w:t>
      </w:r>
      <w:r w:rsidR="00BE65FF">
        <w:t xml:space="preserve"> pequeno porte, </w:t>
      </w:r>
      <w:r w:rsidRPr="000845A2">
        <w:t xml:space="preserve">o que </w:t>
      </w:r>
      <w:r w:rsidR="00BE65FF">
        <w:t xml:space="preserve">poderá significar a </w:t>
      </w:r>
      <w:r w:rsidRPr="000845A2">
        <w:t>amplia</w:t>
      </w:r>
      <w:r w:rsidR="00BE65FF">
        <w:t>ção</w:t>
      </w:r>
      <w:r w:rsidRPr="000845A2">
        <w:t xml:space="preserve"> </w:t>
      </w:r>
      <w:r w:rsidR="00BE65FF">
        <w:t>de</w:t>
      </w:r>
      <w:r w:rsidRPr="000845A2">
        <w:t xml:space="preserve"> competitividade de empresas</w:t>
      </w:r>
      <w:r w:rsidR="00BE65FF">
        <w:t xml:space="preserve"> de pequeno porte</w:t>
      </w:r>
      <w:r w:rsidRPr="000845A2">
        <w:t xml:space="preserve">, que terão condições, </w:t>
      </w:r>
      <w:r w:rsidR="00BE65FF">
        <w:t>individuais</w:t>
      </w:r>
      <w:r w:rsidRPr="000845A2">
        <w:t xml:space="preserve"> de participar da licitação, uma vez que, </w:t>
      </w:r>
      <w:r w:rsidR="00BE65FF">
        <w:t>consorciadas</w:t>
      </w:r>
      <w:r w:rsidRPr="000845A2">
        <w:t xml:space="preserve">, não </w:t>
      </w:r>
      <w:r w:rsidR="00BE65FF">
        <w:t>teriam interesse em obras de pequena complexidade</w:t>
      </w:r>
      <w:r w:rsidRPr="000845A2">
        <w:t>.</w:t>
      </w:r>
      <w:r w:rsidR="00E90D52" w:rsidRPr="00E90D52">
        <w:t xml:space="preserve"> </w:t>
      </w:r>
    </w:p>
    <w:p w14:paraId="771A495C" w14:textId="77777777" w:rsidR="00BA6FD3" w:rsidRPr="00D169EB" w:rsidRDefault="00BA6FD3" w:rsidP="00BA6FD3">
      <w:pPr>
        <w:spacing w:after="120"/>
        <w:jc w:val="both"/>
        <w:rPr>
          <w:b/>
          <w:u w:val="single"/>
        </w:rPr>
      </w:pPr>
      <w:r w:rsidRPr="00D169EB">
        <w:rPr>
          <w:b/>
          <w:u w:val="single"/>
        </w:rPr>
        <w:t>Permissão de Participação de Cooperativas:</w:t>
      </w:r>
    </w:p>
    <w:p w14:paraId="467D3333" w14:textId="77777777" w:rsidR="00BA6FD3" w:rsidRDefault="00BA6FD3" w:rsidP="00BA6FD3">
      <w:pPr>
        <w:jc w:val="both"/>
      </w:pPr>
      <w:r w:rsidRPr="00A73A74">
        <w:rPr>
          <w:u w:val="single"/>
        </w:rPr>
        <w:t xml:space="preserve">Não </w:t>
      </w:r>
      <w:r>
        <w:rPr>
          <w:u w:val="single"/>
        </w:rPr>
        <w:t>permitida</w:t>
      </w:r>
      <w:r w:rsidRPr="00A73A74">
        <w:rPr>
          <w:u w:val="single"/>
        </w:rPr>
        <w:t>.</w:t>
      </w:r>
      <w:r w:rsidRPr="00A73A74">
        <w:t xml:space="preserve"> Não será permitida também a participação de Cooperativas, uma vez que não se enquadra o objeto da licitação de contrato de mão-de-obra para execução sob a forma de cooperados, não havendo </w:t>
      </w:r>
      <w:r w:rsidRPr="00A73A74">
        <w:lastRenderedPageBreak/>
        <w:t>a necessidade de permissão de participação de empresas na forma de cooperativa, conforme estabelece a IN 05/2017.</w:t>
      </w:r>
    </w:p>
    <w:p w14:paraId="4C221134" w14:textId="77777777" w:rsidR="00BA6FD3" w:rsidRDefault="00BA6FD3" w:rsidP="00BA6FD3">
      <w:pPr>
        <w:jc w:val="both"/>
      </w:pPr>
    </w:p>
    <w:p w14:paraId="51FAE463" w14:textId="77777777" w:rsidR="00BA6FD3" w:rsidRPr="00D169EB" w:rsidRDefault="00BA6FD3" w:rsidP="00BA1CBF">
      <w:pPr>
        <w:spacing w:after="120"/>
        <w:jc w:val="both"/>
        <w:rPr>
          <w:b/>
          <w:u w:val="single"/>
        </w:rPr>
      </w:pPr>
      <w:r w:rsidRPr="00D169EB">
        <w:rPr>
          <w:b/>
          <w:u w:val="single"/>
        </w:rPr>
        <w:t>Permissão de Subcontratação:</w:t>
      </w:r>
    </w:p>
    <w:p w14:paraId="21188468" w14:textId="77777777" w:rsidR="00BA6FD3" w:rsidRDefault="00BA6FD3" w:rsidP="00BA6FD3">
      <w:pPr>
        <w:jc w:val="both"/>
      </w:pPr>
      <w:r w:rsidRPr="001304F2">
        <w:rPr>
          <w:u w:val="single"/>
        </w:rPr>
        <w:t>Não permitida.</w:t>
      </w:r>
      <w:r w:rsidRPr="00930762">
        <w:t xml:space="preserve"> </w:t>
      </w:r>
      <w:r w:rsidRPr="006F0D61">
        <w:t xml:space="preserve">Não será permitida </w:t>
      </w:r>
      <w:r>
        <w:t>subcontratação de serviços parciais deste TR</w:t>
      </w:r>
      <w:r w:rsidRPr="006F0D61">
        <w:t>, considerando que o objeto não envolve diversas especialidades que exigem empresas de ramos distintos, como também não se trata de metodologia de execução de alta complexidade.</w:t>
      </w:r>
    </w:p>
    <w:p w14:paraId="449C4679" w14:textId="77777777" w:rsidR="00BA6FD3" w:rsidRDefault="00BA6FD3" w:rsidP="00BA6FD3">
      <w:pPr>
        <w:jc w:val="both"/>
      </w:pPr>
    </w:p>
    <w:p w14:paraId="3A486EBE" w14:textId="77777777" w:rsidR="00BA6FD3" w:rsidRPr="00D169EB" w:rsidRDefault="00BA6FD3" w:rsidP="00BA1CBF">
      <w:pPr>
        <w:spacing w:after="120"/>
        <w:jc w:val="both"/>
        <w:rPr>
          <w:b/>
          <w:u w:val="single"/>
        </w:rPr>
      </w:pPr>
      <w:r w:rsidRPr="00D169EB">
        <w:rPr>
          <w:b/>
          <w:u w:val="single"/>
        </w:rPr>
        <w:t xml:space="preserve">Visita: </w:t>
      </w:r>
    </w:p>
    <w:p w14:paraId="07CD4040" w14:textId="77777777" w:rsidR="00BA6FD3" w:rsidRDefault="00BA6FD3" w:rsidP="00BA6FD3">
      <w:pPr>
        <w:jc w:val="both"/>
      </w:pPr>
      <w:proofErr w:type="gramStart"/>
      <w:r w:rsidRPr="006B6F39">
        <w:rPr>
          <w:u w:val="single"/>
        </w:rPr>
        <w:t>Exigido declaração</w:t>
      </w:r>
      <w:proofErr w:type="gramEnd"/>
      <w:r w:rsidRPr="00BA1CBF">
        <w:rPr>
          <w:b/>
        </w:rPr>
        <w:t>.</w:t>
      </w:r>
      <w:r>
        <w:t xml:space="preserve"> R</w:t>
      </w:r>
      <w:r w:rsidRPr="0026589C">
        <w:t>ecomenda-se às LICITANTES que seja realizada a visita aos locais onde serão executados os 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sectPr w:rsidR="00BA6FD3">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8AC86" w14:textId="77777777" w:rsidR="00935E74" w:rsidRDefault="00935E74" w:rsidP="00010EA0">
      <w:r>
        <w:separator/>
      </w:r>
    </w:p>
  </w:endnote>
  <w:endnote w:type="continuationSeparator" w:id="0">
    <w:p w14:paraId="1DAD19D9" w14:textId="77777777" w:rsidR="00935E74" w:rsidRDefault="00935E74" w:rsidP="00010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FB4899" w14:textId="77777777" w:rsidR="00935E74" w:rsidRDefault="00935E74" w:rsidP="00010EA0">
      <w:r>
        <w:separator/>
      </w:r>
    </w:p>
  </w:footnote>
  <w:footnote w:type="continuationSeparator" w:id="0">
    <w:p w14:paraId="7530A75C" w14:textId="77777777" w:rsidR="00935E74" w:rsidRDefault="00935E74" w:rsidP="00010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12D53" w14:textId="77777777" w:rsidR="00435AB6" w:rsidRDefault="00435AB6">
    <w:pPr>
      <w:pStyle w:val="Cabealho"/>
    </w:pPr>
    <w:r>
      <w:rPr>
        <w:noProof/>
        <w:lang w:eastAsia="pt-BR"/>
      </w:rPr>
      <w:drawing>
        <wp:inline distT="0" distB="0" distL="0" distR="0" wp14:anchorId="34459B64" wp14:editId="6D670DA3">
          <wp:extent cx="5400040" cy="46228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arca Codevasf.png"/>
                  <pic:cNvPicPr/>
                </pic:nvPicPr>
                <pic:blipFill>
                  <a:blip r:embed="rId1">
                    <a:extLst>
                      <a:ext uri="{28A0092B-C50C-407E-A947-70E740481C1C}">
                        <a14:useLocalDpi xmlns:a14="http://schemas.microsoft.com/office/drawing/2010/main" val="0"/>
                      </a:ext>
                    </a:extLst>
                  </a:blip>
                  <a:stretch>
                    <a:fillRect/>
                  </a:stretch>
                </pic:blipFill>
                <pic:spPr>
                  <a:xfrm>
                    <a:off x="0" y="0"/>
                    <a:ext cx="5400040" cy="462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21550364"/>
    <w:multiLevelType w:val="hybridMultilevel"/>
    <w:tmpl w:val="1E62DC7A"/>
    <w:lvl w:ilvl="0" w:tplc="E13AF2EE">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 w15:restartNumberingAfterBreak="0">
    <w:nsid w:val="220C5E32"/>
    <w:multiLevelType w:val="multilevel"/>
    <w:tmpl w:val="4AF2B12E"/>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930"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3"/>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67A6"/>
    <w:rsid w:val="00010EA0"/>
    <w:rsid w:val="00022501"/>
    <w:rsid w:val="00034E66"/>
    <w:rsid w:val="00081A4B"/>
    <w:rsid w:val="000B0451"/>
    <w:rsid w:val="000C3B57"/>
    <w:rsid w:val="000E0CEC"/>
    <w:rsid w:val="001304F2"/>
    <w:rsid w:val="00133999"/>
    <w:rsid w:val="00187B11"/>
    <w:rsid w:val="002054C6"/>
    <w:rsid w:val="00225091"/>
    <w:rsid w:val="00296C5C"/>
    <w:rsid w:val="002A685E"/>
    <w:rsid w:val="00300FDD"/>
    <w:rsid w:val="003A4CDD"/>
    <w:rsid w:val="003C6DB9"/>
    <w:rsid w:val="00435AB6"/>
    <w:rsid w:val="004535AC"/>
    <w:rsid w:val="004E7D3E"/>
    <w:rsid w:val="0050440D"/>
    <w:rsid w:val="00556AE0"/>
    <w:rsid w:val="00593CD4"/>
    <w:rsid w:val="005B148A"/>
    <w:rsid w:val="005B776A"/>
    <w:rsid w:val="00676D66"/>
    <w:rsid w:val="0068369F"/>
    <w:rsid w:val="006911A4"/>
    <w:rsid w:val="006B3B9A"/>
    <w:rsid w:val="006B6F39"/>
    <w:rsid w:val="006F0FEC"/>
    <w:rsid w:val="0074763A"/>
    <w:rsid w:val="00766294"/>
    <w:rsid w:val="007847FA"/>
    <w:rsid w:val="00797C3B"/>
    <w:rsid w:val="007F5ADE"/>
    <w:rsid w:val="00875223"/>
    <w:rsid w:val="00875E5B"/>
    <w:rsid w:val="00915096"/>
    <w:rsid w:val="00926490"/>
    <w:rsid w:val="00935E74"/>
    <w:rsid w:val="00947EDF"/>
    <w:rsid w:val="00963AE2"/>
    <w:rsid w:val="00984742"/>
    <w:rsid w:val="00A17E9C"/>
    <w:rsid w:val="00A41406"/>
    <w:rsid w:val="00A46EA4"/>
    <w:rsid w:val="00A60C79"/>
    <w:rsid w:val="00AA23F9"/>
    <w:rsid w:val="00AB5071"/>
    <w:rsid w:val="00B22393"/>
    <w:rsid w:val="00B64471"/>
    <w:rsid w:val="00BA1CBF"/>
    <w:rsid w:val="00BA6FD3"/>
    <w:rsid w:val="00BE65FF"/>
    <w:rsid w:val="00C71031"/>
    <w:rsid w:val="00C966BA"/>
    <w:rsid w:val="00CA3F4D"/>
    <w:rsid w:val="00D169EB"/>
    <w:rsid w:val="00D7788E"/>
    <w:rsid w:val="00DA2C0F"/>
    <w:rsid w:val="00DB7BB1"/>
    <w:rsid w:val="00DC67A6"/>
    <w:rsid w:val="00E875E0"/>
    <w:rsid w:val="00E90D52"/>
    <w:rsid w:val="00E936E8"/>
    <w:rsid w:val="00E97664"/>
    <w:rsid w:val="00EA344D"/>
    <w:rsid w:val="00F212E6"/>
    <w:rsid w:val="00F42022"/>
    <w:rsid w:val="00FC07EE"/>
    <w:rsid w:val="00FD77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FBE8F2"/>
  <w15:docId w15:val="{19AAEB1B-F431-460C-9469-FF688F2C4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EA0"/>
    <w:pPr>
      <w:suppressAutoHyphens/>
    </w:pPr>
    <w:rPr>
      <w:lang w:eastAsia="ar-SA"/>
    </w:rPr>
  </w:style>
  <w:style w:type="paragraph" w:styleId="Ttulo1">
    <w:name w:val="heading 1"/>
    <w:basedOn w:val="Normal"/>
    <w:next w:val="Normal"/>
    <w:link w:val="Ttulo1Char"/>
    <w:qFormat/>
    <w:rsid w:val="00C966BA"/>
    <w:pPr>
      <w:keepNext/>
      <w:jc w:val="center"/>
      <w:outlineLvl w:val="0"/>
    </w:pPr>
    <w:rPr>
      <w:b/>
      <w:sz w:val="16"/>
    </w:rPr>
  </w:style>
  <w:style w:type="paragraph" w:styleId="Ttulo2">
    <w:name w:val="heading 2"/>
    <w:basedOn w:val="Normal"/>
    <w:next w:val="Normal"/>
    <w:link w:val="Ttulo2Char"/>
    <w:qFormat/>
    <w:rsid w:val="00C966BA"/>
    <w:pPr>
      <w:keepNext/>
      <w:jc w:val="both"/>
      <w:outlineLvl w:val="1"/>
    </w:pPr>
    <w:rPr>
      <w:rFonts w:ascii="Arial" w:hAnsi="Arial"/>
      <w:b/>
      <w:bCs/>
      <w:color w:val="FF0000"/>
      <w:sz w:val="24"/>
    </w:rPr>
  </w:style>
  <w:style w:type="paragraph" w:styleId="Ttulo3">
    <w:name w:val="heading 3"/>
    <w:basedOn w:val="Normal"/>
    <w:next w:val="Normal"/>
    <w:link w:val="Ttulo3Char"/>
    <w:qFormat/>
    <w:rsid w:val="00C966BA"/>
    <w:pPr>
      <w:keepNext/>
      <w:jc w:val="center"/>
      <w:outlineLvl w:val="2"/>
    </w:pPr>
    <w:rPr>
      <w:rFonts w:ascii="Arial" w:hAnsi="Arial"/>
      <w:sz w:val="24"/>
    </w:rPr>
  </w:style>
  <w:style w:type="paragraph" w:styleId="Ttulo4">
    <w:name w:val="heading 4"/>
    <w:basedOn w:val="Normal"/>
    <w:next w:val="Normal"/>
    <w:link w:val="Ttulo4Char"/>
    <w:qFormat/>
    <w:rsid w:val="00C966BA"/>
    <w:pPr>
      <w:keepNext/>
      <w:suppressAutoHyphens w:val="0"/>
      <w:jc w:val="center"/>
      <w:outlineLvl w:val="3"/>
    </w:pPr>
    <w:rPr>
      <w:b/>
      <w:sz w:val="19"/>
    </w:rPr>
  </w:style>
  <w:style w:type="paragraph" w:styleId="Ttulo5">
    <w:name w:val="heading 5"/>
    <w:basedOn w:val="Normal"/>
    <w:next w:val="Normal"/>
    <w:link w:val="Ttulo5Char"/>
    <w:qFormat/>
    <w:rsid w:val="00C966BA"/>
    <w:pPr>
      <w:spacing w:before="240" w:after="60"/>
      <w:outlineLvl w:val="4"/>
    </w:pPr>
    <w:rPr>
      <w:b/>
      <w:bCs/>
      <w:i/>
      <w:iCs/>
      <w:sz w:val="26"/>
      <w:szCs w:val="26"/>
    </w:rPr>
  </w:style>
  <w:style w:type="paragraph" w:styleId="Ttulo6">
    <w:name w:val="heading 6"/>
    <w:basedOn w:val="Normal"/>
    <w:next w:val="Normal"/>
    <w:link w:val="Ttulo6Char"/>
    <w:qFormat/>
    <w:rsid w:val="00C966BA"/>
    <w:pPr>
      <w:keepNext/>
      <w:snapToGrid w:val="0"/>
      <w:spacing w:before="40" w:after="40"/>
      <w:jc w:val="center"/>
      <w:outlineLvl w:val="5"/>
    </w:pPr>
    <w:rPr>
      <w:rFonts w:ascii="Arial" w:hAnsi="Arial"/>
      <w:b/>
      <w:sz w:val="22"/>
    </w:rPr>
  </w:style>
  <w:style w:type="paragraph" w:styleId="Ttulo8">
    <w:name w:val="heading 8"/>
    <w:basedOn w:val="Normal"/>
    <w:next w:val="Normal"/>
    <w:link w:val="Ttulo8Char"/>
    <w:qFormat/>
    <w:rsid w:val="00C966BA"/>
    <w:pPr>
      <w:keepNext/>
      <w:spacing w:before="120" w:after="120"/>
      <w:jc w:val="center"/>
      <w:outlineLvl w:val="7"/>
    </w:pPr>
    <w:rPr>
      <w:b/>
      <w:spacing w:val="74"/>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966BA"/>
    <w:rPr>
      <w:b/>
      <w:sz w:val="16"/>
      <w:lang w:eastAsia="ar-SA"/>
    </w:rPr>
  </w:style>
  <w:style w:type="character" w:customStyle="1" w:styleId="Ttulo2Char">
    <w:name w:val="Título 2 Char"/>
    <w:basedOn w:val="Fontepargpadro"/>
    <w:link w:val="Ttulo2"/>
    <w:rsid w:val="00C966BA"/>
    <w:rPr>
      <w:rFonts w:ascii="Arial" w:hAnsi="Arial"/>
      <w:b/>
      <w:bCs/>
      <w:color w:val="FF0000"/>
      <w:sz w:val="24"/>
      <w:lang w:eastAsia="ar-SA"/>
    </w:rPr>
  </w:style>
  <w:style w:type="character" w:customStyle="1" w:styleId="Ttulo3Char">
    <w:name w:val="Título 3 Char"/>
    <w:basedOn w:val="Fontepargpadro"/>
    <w:link w:val="Ttulo3"/>
    <w:rsid w:val="00C966BA"/>
    <w:rPr>
      <w:rFonts w:ascii="Arial" w:hAnsi="Arial"/>
      <w:sz w:val="24"/>
      <w:lang w:eastAsia="ar-SA"/>
    </w:rPr>
  </w:style>
  <w:style w:type="character" w:customStyle="1" w:styleId="Ttulo4Char">
    <w:name w:val="Título 4 Char"/>
    <w:basedOn w:val="Fontepargpadro"/>
    <w:link w:val="Ttulo4"/>
    <w:rsid w:val="00C966BA"/>
    <w:rPr>
      <w:b/>
      <w:sz w:val="19"/>
      <w:lang w:eastAsia="ar-SA"/>
    </w:rPr>
  </w:style>
  <w:style w:type="character" w:customStyle="1" w:styleId="Ttulo5Char">
    <w:name w:val="Título 5 Char"/>
    <w:basedOn w:val="Fontepargpadro"/>
    <w:link w:val="Ttulo5"/>
    <w:rsid w:val="00C966BA"/>
    <w:rPr>
      <w:b/>
      <w:bCs/>
      <w:i/>
      <w:iCs/>
      <w:sz w:val="26"/>
      <w:szCs w:val="26"/>
      <w:lang w:eastAsia="ar-SA"/>
    </w:rPr>
  </w:style>
  <w:style w:type="character" w:customStyle="1" w:styleId="Ttulo6Char">
    <w:name w:val="Título 6 Char"/>
    <w:basedOn w:val="Fontepargpadro"/>
    <w:link w:val="Ttulo6"/>
    <w:rsid w:val="00C966BA"/>
    <w:rPr>
      <w:rFonts w:ascii="Arial" w:hAnsi="Arial"/>
      <w:b/>
      <w:sz w:val="22"/>
      <w:lang w:eastAsia="ar-SA"/>
    </w:rPr>
  </w:style>
  <w:style w:type="character" w:customStyle="1" w:styleId="Ttulo8Char">
    <w:name w:val="Título 8 Char"/>
    <w:basedOn w:val="Fontepargpadro"/>
    <w:link w:val="Ttulo8"/>
    <w:rsid w:val="00C966BA"/>
    <w:rPr>
      <w:b/>
      <w:spacing w:val="74"/>
      <w:sz w:val="28"/>
      <w:lang w:eastAsia="ar-SA"/>
    </w:rPr>
  </w:style>
  <w:style w:type="paragraph" w:styleId="Sumrio1">
    <w:name w:val="toc 1"/>
    <w:basedOn w:val="Normal"/>
    <w:next w:val="Normal"/>
    <w:autoRedefine/>
    <w:uiPriority w:val="39"/>
    <w:qFormat/>
    <w:rsid w:val="00C966BA"/>
  </w:style>
  <w:style w:type="paragraph" w:styleId="Sumrio2">
    <w:name w:val="toc 2"/>
    <w:basedOn w:val="Normal"/>
    <w:next w:val="Normal"/>
    <w:autoRedefine/>
    <w:uiPriority w:val="39"/>
    <w:qFormat/>
    <w:rsid w:val="00C966BA"/>
    <w:pPr>
      <w:ind w:left="200"/>
    </w:pPr>
  </w:style>
  <w:style w:type="paragraph" w:styleId="Sumrio3">
    <w:name w:val="toc 3"/>
    <w:basedOn w:val="Normal"/>
    <w:next w:val="Normal"/>
    <w:autoRedefine/>
    <w:uiPriority w:val="39"/>
    <w:unhideWhenUsed/>
    <w:qFormat/>
    <w:rsid w:val="00C966BA"/>
    <w:pPr>
      <w:suppressAutoHyphens w:val="0"/>
      <w:spacing w:after="100" w:line="276" w:lineRule="auto"/>
      <w:ind w:left="440"/>
    </w:pPr>
    <w:rPr>
      <w:rFonts w:ascii="Calibri" w:hAnsi="Calibri"/>
      <w:sz w:val="22"/>
      <w:szCs w:val="22"/>
      <w:lang w:eastAsia="pt-BR"/>
    </w:rPr>
  </w:style>
  <w:style w:type="paragraph" w:styleId="Legenda">
    <w:name w:val="caption"/>
    <w:basedOn w:val="Normal"/>
    <w:qFormat/>
    <w:rsid w:val="00C966BA"/>
    <w:pPr>
      <w:suppressLineNumbers/>
      <w:spacing w:before="120" w:after="120"/>
    </w:pPr>
    <w:rPr>
      <w:rFonts w:cs="Lucida Sans Unicode"/>
      <w:i/>
      <w:iCs/>
      <w:sz w:val="24"/>
      <w:szCs w:val="24"/>
    </w:rPr>
  </w:style>
  <w:style w:type="paragraph" w:styleId="Ttulo">
    <w:name w:val="Title"/>
    <w:basedOn w:val="Normal"/>
    <w:next w:val="Subttulo"/>
    <w:link w:val="TtuloChar"/>
    <w:qFormat/>
    <w:rsid w:val="00C966BA"/>
    <w:pPr>
      <w:jc w:val="center"/>
    </w:pPr>
    <w:rPr>
      <w:sz w:val="24"/>
      <w:u w:val="single"/>
    </w:rPr>
  </w:style>
  <w:style w:type="character" w:customStyle="1" w:styleId="TtuloChar">
    <w:name w:val="Título Char"/>
    <w:basedOn w:val="Fontepargpadro"/>
    <w:link w:val="Ttulo"/>
    <w:rsid w:val="00C966BA"/>
    <w:rPr>
      <w:sz w:val="24"/>
      <w:u w:val="single"/>
      <w:lang w:eastAsia="ar-SA"/>
    </w:rPr>
  </w:style>
  <w:style w:type="paragraph" w:styleId="Subttulo">
    <w:name w:val="Subtitle"/>
    <w:basedOn w:val="Normal"/>
    <w:next w:val="Corpodetexto"/>
    <w:link w:val="SubttuloChar"/>
    <w:qFormat/>
    <w:rsid w:val="00C966BA"/>
    <w:pPr>
      <w:keepNext/>
      <w:spacing w:before="240" w:after="120"/>
      <w:jc w:val="center"/>
    </w:pPr>
    <w:rPr>
      <w:rFonts w:ascii="Arial" w:eastAsia="Lucida Sans Unicode" w:hAnsi="Arial" w:cs="Lucida Sans Unicode"/>
      <w:i/>
      <w:iCs/>
      <w:sz w:val="28"/>
      <w:szCs w:val="28"/>
    </w:rPr>
  </w:style>
  <w:style w:type="character" w:customStyle="1" w:styleId="SubttuloChar">
    <w:name w:val="Subtítulo Char"/>
    <w:basedOn w:val="Fontepargpadro"/>
    <w:link w:val="Subttulo"/>
    <w:rsid w:val="00C966BA"/>
    <w:rPr>
      <w:rFonts w:ascii="Arial" w:eastAsia="Lucida Sans Unicode" w:hAnsi="Arial" w:cs="Lucida Sans Unicode"/>
      <w:i/>
      <w:iCs/>
      <w:sz w:val="28"/>
      <w:szCs w:val="28"/>
      <w:lang w:eastAsia="ar-SA"/>
    </w:rPr>
  </w:style>
  <w:style w:type="paragraph" w:styleId="Corpodetexto">
    <w:name w:val="Body Text"/>
    <w:basedOn w:val="Normal"/>
    <w:link w:val="CorpodetextoChar"/>
    <w:uiPriority w:val="99"/>
    <w:semiHidden/>
    <w:unhideWhenUsed/>
    <w:rsid w:val="00C966BA"/>
    <w:pPr>
      <w:spacing w:after="120"/>
    </w:pPr>
  </w:style>
  <w:style w:type="character" w:customStyle="1" w:styleId="CorpodetextoChar">
    <w:name w:val="Corpo de texto Char"/>
    <w:basedOn w:val="Fontepargpadro"/>
    <w:link w:val="Corpodetexto"/>
    <w:uiPriority w:val="99"/>
    <w:semiHidden/>
    <w:rsid w:val="00C966BA"/>
    <w:rPr>
      <w:lang w:eastAsia="ar-SA"/>
    </w:rPr>
  </w:style>
  <w:style w:type="character" w:styleId="Forte">
    <w:name w:val="Strong"/>
    <w:aliases w:val="Titulos"/>
    <w:qFormat/>
    <w:rsid w:val="00C966BA"/>
    <w:rPr>
      <w:rFonts w:ascii="Arial Black" w:hAnsi="Arial Black"/>
      <w:b/>
      <w:bCs/>
      <w:sz w:val="22"/>
    </w:rPr>
  </w:style>
  <w:style w:type="paragraph" w:styleId="PargrafodaLista">
    <w:name w:val="List Paragraph"/>
    <w:basedOn w:val="Normal"/>
    <w:qFormat/>
    <w:rsid w:val="00C966BA"/>
    <w:pPr>
      <w:ind w:left="708"/>
    </w:pPr>
  </w:style>
  <w:style w:type="paragraph" w:styleId="CabealhodoSumrio">
    <w:name w:val="TOC Heading"/>
    <w:basedOn w:val="Ttulo1"/>
    <w:next w:val="Normal"/>
    <w:uiPriority w:val="39"/>
    <w:unhideWhenUsed/>
    <w:qFormat/>
    <w:rsid w:val="00C966BA"/>
    <w:pPr>
      <w:keepLines/>
      <w:suppressAutoHyphens w:val="0"/>
      <w:spacing w:before="480" w:line="276" w:lineRule="auto"/>
      <w:jc w:val="left"/>
      <w:outlineLvl w:val="9"/>
    </w:pPr>
    <w:rPr>
      <w:rFonts w:ascii="Cambria" w:hAnsi="Cambria"/>
      <w:bCs/>
      <w:color w:val="365F91"/>
      <w:sz w:val="28"/>
      <w:szCs w:val="28"/>
      <w:lang w:eastAsia="pt-BR"/>
    </w:rPr>
  </w:style>
  <w:style w:type="paragraph" w:styleId="Cabealho">
    <w:name w:val="header"/>
    <w:basedOn w:val="Normal"/>
    <w:link w:val="CabealhoChar"/>
    <w:uiPriority w:val="99"/>
    <w:unhideWhenUsed/>
    <w:rsid w:val="00010EA0"/>
    <w:pPr>
      <w:tabs>
        <w:tab w:val="center" w:pos="4252"/>
        <w:tab w:val="right" w:pos="8504"/>
      </w:tabs>
    </w:pPr>
  </w:style>
  <w:style w:type="character" w:customStyle="1" w:styleId="CabealhoChar">
    <w:name w:val="Cabeçalho Char"/>
    <w:basedOn w:val="Fontepargpadro"/>
    <w:link w:val="Cabealho"/>
    <w:uiPriority w:val="99"/>
    <w:rsid w:val="00010EA0"/>
    <w:rPr>
      <w:lang w:eastAsia="ar-SA"/>
    </w:rPr>
  </w:style>
  <w:style w:type="paragraph" w:styleId="Rodap">
    <w:name w:val="footer"/>
    <w:basedOn w:val="Normal"/>
    <w:link w:val="RodapChar"/>
    <w:uiPriority w:val="99"/>
    <w:unhideWhenUsed/>
    <w:rsid w:val="00010EA0"/>
    <w:pPr>
      <w:tabs>
        <w:tab w:val="center" w:pos="4252"/>
        <w:tab w:val="right" w:pos="8504"/>
      </w:tabs>
    </w:pPr>
  </w:style>
  <w:style w:type="character" w:customStyle="1" w:styleId="RodapChar">
    <w:name w:val="Rodapé Char"/>
    <w:basedOn w:val="Fontepargpadro"/>
    <w:link w:val="Rodap"/>
    <w:uiPriority w:val="99"/>
    <w:rsid w:val="00010EA0"/>
    <w:rPr>
      <w:lang w:eastAsia="ar-SA"/>
    </w:rPr>
  </w:style>
  <w:style w:type="paragraph" w:styleId="Textodebalo">
    <w:name w:val="Balloon Text"/>
    <w:basedOn w:val="Normal"/>
    <w:link w:val="TextodebaloChar"/>
    <w:uiPriority w:val="99"/>
    <w:semiHidden/>
    <w:unhideWhenUsed/>
    <w:rsid w:val="00010EA0"/>
    <w:rPr>
      <w:rFonts w:ascii="Tahoma" w:hAnsi="Tahoma" w:cs="Tahoma"/>
      <w:sz w:val="16"/>
      <w:szCs w:val="16"/>
    </w:rPr>
  </w:style>
  <w:style w:type="character" w:customStyle="1" w:styleId="TextodebaloChar">
    <w:name w:val="Texto de balão Char"/>
    <w:basedOn w:val="Fontepargpadro"/>
    <w:link w:val="Textodebalo"/>
    <w:uiPriority w:val="99"/>
    <w:semiHidden/>
    <w:rsid w:val="00010EA0"/>
    <w:rPr>
      <w:rFonts w:ascii="Tahoma" w:hAnsi="Tahoma" w:cs="Tahoma"/>
      <w:sz w:val="16"/>
      <w:szCs w:val="16"/>
      <w:lang w:eastAsia="ar-SA"/>
    </w:rPr>
  </w:style>
  <w:style w:type="paragraph" w:customStyle="1" w:styleId="artigo">
    <w:name w:val="artigo"/>
    <w:basedOn w:val="Normal"/>
    <w:rsid w:val="00EA344D"/>
    <w:pPr>
      <w:suppressAutoHyphens w:val="0"/>
      <w:spacing w:before="100" w:beforeAutospacing="1" w:after="100" w:afterAutospacing="1"/>
    </w:pPr>
    <w:rPr>
      <w:sz w:val="24"/>
      <w:szCs w:val="24"/>
      <w:lang w:eastAsia="pt-BR"/>
    </w:rPr>
  </w:style>
  <w:style w:type="character" w:styleId="Hyperlink">
    <w:name w:val="Hyperlink"/>
    <w:basedOn w:val="Fontepargpadro"/>
    <w:uiPriority w:val="99"/>
    <w:semiHidden/>
    <w:unhideWhenUsed/>
    <w:rsid w:val="001339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6849435">
      <w:bodyDiv w:val="1"/>
      <w:marLeft w:val="0"/>
      <w:marRight w:val="0"/>
      <w:marTop w:val="0"/>
      <w:marBottom w:val="0"/>
      <w:divBdr>
        <w:top w:val="none" w:sz="0" w:space="0" w:color="auto"/>
        <w:left w:val="none" w:sz="0" w:space="0" w:color="auto"/>
        <w:bottom w:val="none" w:sz="0" w:space="0" w:color="auto"/>
        <w:right w:val="none" w:sz="0" w:space="0" w:color="auto"/>
      </w:divBdr>
    </w:div>
    <w:div w:id="1186291499">
      <w:bodyDiv w:val="1"/>
      <w:marLeft w:val="0"/>
      <w:marRight w:val="0"/>
      <w:marTop w:val="0"/>
      <w:marBottom w:val="0"/>
      <w:divBdr>
        <w:top w:val="none" w:sz="0" w:space="0" w:color="auto"/>
        <w:left w:val="none" w:sz="0" w:space="0" w:color="auto"/>
        <w:bottom w:val="none" w:sz="0" w:space="0" w:color="auto"/>
        <w:right w:val="none" w:sz="0" w:space="0" w:color="auto"/>
      </w:divBdr>
    </w:div>
    <w:div w:id="157169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TotalTime>
  <Pages>5</Pages>
  <Words>1850</Words>
  <Characters>9995</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  Santos 8ª SR</dc:creator>
  <cp:lastModifiedBy>Giselia Santos Melo</cp:lastModifiedBy>
  <cp:revision>40</cp:revision>
  <cp:lastPrinted>2020-06-10T15:32:00Z</cp:lastPrinted>
  <dcterms:created xsi:type="dcterms:W3CDTF">2018-08-06T17:37:00Z</dcterms:created>
  <dcterms:modified xsi:type="dcterms:W3CDTF">2020-10-23T17:35:00Z</dcterms:modified>
</cp:coreProperties>
</file>