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7485" w:rsidRPr="001D1314" w:rsidRDefault="003F7485" w:rsidP="003F7485">
      <w:pPr>
        <w:spacing w:after="200" w:line="276" w:lineRule="auto"/>
        <w:jc w:val="center"/>
        <w:rPr>
          <w:rFonts w:ascii="Calibri" w:hAnsi="Calibri" w:cs="Calibri"/>
          <w:b/>
        </w:rPr>
      </w:pPr>
      <w:bookmarkStart w:id="0" w:name="_Ref450205714"/>
      <w:bookmarkStart w:id="1" w:name="_Toc352230692"/>
      <w:bookmarkStart w:id="2" w:name="_Toc392675799"/>
      <w:bookmarkStart w:id="3" w:name="_Ref394333211"/>
      <w:bookmarkStart w:id="4" w:name="_Ref440982424"/>
      <w:bookmarkStart w:id="5" w:name="_Toc440982774"/>
      <w:bookmarkStart w:id="6" w:name="_Ref441155482"/>
      <w:bookmarkStart w:id="7" w:name="_Ref450206143"/>
      <w:bookmarkStart w:id="8" w:name="_Ref462845863"/>
      <w:bookmarkStart w:id="9" w:name="_Ref462845883"/>
      <w:bookmarkStart w:id="10" w:name="_Ref462845891"/>
      <w:r w:rsidRPr="001D1314">
        <w:rPr>
          <w:rFonts w:ascii="Calibri" w:hAnsi="Calibri" w:cs="Calibri"/>
          <w:b/>
        </w:rPr>
        <w:t xml:space="preserve">Anexo </w:t>
      </w:r>
      <w:r w:rsidRPr="001D1314">
        <w:rPr>
          <w:rFonts w:ascii="Calibri" w:hAnsi="Calibri" w:cs="Calibri"/>
          <w:b/>
        </w:rPr>
        <w:fldChar w:fldCharType="begin"/>
      </w:r>
      <w:r w:rsidRPr="001D1314">
        <w:rPr>
          <w:rFonts w:ascii="Calibri" w:hAnsi="Calibri" w:cs="Calibri"/>
          <w:b/>
        </w:rPr>
        <w:instrText xml:space="preserve"> SEQ Anexo \* ROMAN </w:instrText>
      </w:r>
      <w:r w:rsidRPr="001D1314">
        <w:rPr>
          <w:rFonts w:ascii="Calibri" w:hAnsi="Calibri" w:cs="Calibri"/>
          <w:b/>
        </w:rPr>
        <w:fldChar w:fldCharType="separate"/>
      </w:r>
      <w:r w:rsidR="002B5C27">
        <w:rPr>
          <w:rFonts w:ascii="Calibri" w:hAnsi="Calibri" w:cs="Calibri"/>
          <w:b/>
          <w:noProof/>
        </w:rPr>
        <w:t>I</w:t>
      </w:r>
      <w:r w:rsidRPr="001D1314">
        <w:rPr>
          <w:rFonts w:ascii="Calibri" w:hAnsi="Calibri" w:cs="Calibri"/>
          <w:b/>
        </w:rPr>
        <w:fldChar w:fldCharType="end"/>
      </w:r>
      <w:bookmarkEnd w:id="0"/>
      <w:r w:rsidRPr="001D1314">
        <w:rPr>
          <w:rFonts w:ascii="Calibri" w:hAnsi="Calibri" w:cs="Calibri"/>
          <w:b/>
        </w:rPr>
        <w:t>: Justificativas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3F7485" w:rsidRPr="001D1314" w:rsidRDefault="003F7485" w:rsidP="003F7485">
      <w:pPr>
        <w:rPr>
          <w:rFonts w:ascii="Calibri" w:hAnsi="Calibri" w:cs="Calibri"/>
          <w:szCs w:val="20"/>
        </w:rPr>
      </w:pPr>
    </w:p>
    <w:p w:rsidR="003F7485" w:rsidRPr="001D1314" w:rsidRDefault="003F7485" w:rsidP="003F7485">
      <w:p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b/>
          <w:szCs w:val="20"/>
        </w:rPr>
        <w:t>Finalidade</w:t>
      </w:r>
      <w:r w:rsidRPr="001D1314">
        <w:rPr>
          <w:rFonts w:ascii="Calibri" w:hAnsi="Calibri" w:cs="Calibri"/>
          <w:szCs w:val="20"/>
        </w:rPr>
        <w:t>: este anexo tem por finalidade incluir exigências e particularidades em função da especificidade da obra ou serviço de engenharia, previstas no Termo de Referência e que aqui após relacionadas passam a integrar o TR.</w:t>
      </w:r>
    </w:p>
    <w:p w:rsidR="003F7485" w:rsidRPr="001D1314" w:rsidRDefault="003F7485" w:rsidP="003F7485">
      <w:pPr>
        <w:rPr>
          <w:rFonts w:ascii="Calibri" w:hAnsi="Calibri" w:cs="Calibri"/>
          <w:szCs w:val="20"/>
        </w:rPr>
      </w:pPr>
    </w:p>
    <w:p w:rsidR="003F7485" w:rsidRPr="001D1314" w:rsidRDefault="003F7485" w:rsidP="003F7485">
      <w:pPr>
        <w:rPr>
          <w:rFonts w:ascii="Calibri" w:hAnsi="Calibri" w:cs="Calibri"/>
          <w:b/>
          <w:szCs w:val="20"/>
        </w:rPr>
      </w:pPr>
      <w:r w:rsidRPr="001D1314">
        <w:rPr>
          <w:rFonts w:ascii="Calibri" w:hAnsi="Calibri" w:cs="Calibri"/>
          <w:b/>
          <w:szCs w:val="20"/>
        </w:rPr>
        <w:t>Justificativas:</w:t>
      </w:r>
    </w:p>
    <w:p w:rsidR="003F7485" w:rsidRPr="001D1314" w:rsidRDefault="003F7485" w:rsidP="003F7485">
      <w:pPr>
        <w:rPr>
          <w:rFonts w:ascii="Calibri" w:hAnsi="Calibri" w:cs="Calibri"/>
          <w:szCs w:val="20"/>
        </w:rPr>
      </w:pPr>
    </w:p>
    <w:p w:rsidR="003F7485" w:rsidRPr="001D1314" w:rsidRDefault="003F7485" w:rsidP="003F7485">
      <w:p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b/>
          <w:szCs w:val="20"/>
          <w:u w:val="single"/>
        </w:rPr>
        <w:t>Da necessidade da contratação</w:t>
      </w:r>
    </w:p>
    <w:p w:rsidR="003F7485" w:rsidRPr="001D1314" w:rsidRDefault="003F7485" w:rsidP="003F7485">
      <w:pPr>
        <w:rPr>
          <w:rFonts w:ascii="Calibri" w:hAnsi="Calibri" w:cs="Calibri"/>
          <w:color w:val="0070C0"/>
          <w:szCs w:val="20"/>
        </w:rPr>
      </w:pPr>
      <w:r w:rsidRPr="001D1314">
        <w:rPr>
          <w:rFonts w:ascii="Calibri" w:hAnsi="Calibri" w:cs="Calibri"/>
          <w:szCs w:val="20"/>
        </w:rPr>
        <w:t>Justifica-se pela aplicação de políticas públicas, voltada para a solução de carências de infraestrutura na região do nordeste.</w:t>
      </w:r>
      <w:r w:rsidRPr="001D1314">
        <w:rPr>
          <w:rFonts w:ascii="Calibri" w:hAnsi="Calibri" w:cs="Calibri"/>
          <w:color w:val="0070C0"/>
          <w:szCs w:val="20"/>
        </w:rPr>
        <w:t xml:space="preserve"> </w:t>
      </w:r>
      <w:r w:rsidRPr="001D1314">
        <w:rPr>
          <w:rFonts w:ascii="Calibri" w:hAnsi="Calibri" w:cs="Calibri"/>
          <w:szCs w:val="20"/>
        </w:rPr>
        <w:t>Apesar de terem proporcionado alguns progressos ainda não conseguiram melhorar substancialmente os indicadores sociais da região, que se situam entre os mais baixos do país. Contudo, é possível perceber a urgência da adoção de medidas capazes de melhorar a qualidade de vida da população da região. A implantação de uma ponte irá promover uma nova rota da sede do município de Nina Rodrigues com a Zona Rural local, vilas e cidades da região, principalmente as situadas através de acessos viários pela margem direita do Rio Munim, contribuindo para o escoamento rural e sua trafegabilidade, resultando em desenvolvimento para as comunidades rurais que serão beneficiadas e para o município como um todo.</w:t>
      </w:r>
    </w:p>
    <w:p w:rsidR="003F7485" w:rsidRPr="001D1314" w:rsidRDefault="003F7485" w:rsidP="003F7485">
      <w:pPr>
        <w:rPr>
          <w:rFonts w:ascii="Calibri" w:hAnsi="Calibri" w:cs="Calibri"/>
          <w:szCs w:val="20"/>
        </w:rPr>
      </w:pPr>
      <w:bookmarkStart w:id="11" w:name="_Hlk52538454"/>
      <w:r w:rsidRPr="001D1314">
        <w:rPr>
          <w:rFonts w:ascii="Calibri" w:hAnsi="Calibri" w:cs="Calibri"/>
          <w:szCs w:val="20"/>
        </w:rPr>
        <w:t>Com o objetivo de proporcionar o atendimento ao direito humano de ir e vir, em qualidade e quantidade, visando um aumento de qualidade de vida na região através da melhoria da infraestrutura de transporte, a 8ª Superintendência Regional aprova o projeto dos serviços de engenharia objeto deste termo de referência.</w:t>
      </w:r>
    </w:p>
    <w:bookmarkEnd w:id="11"/>
    <w:p w:rsidR="003F7485" w:rsidRPr="001D1314" w:rsidRDefault="003F7485" w:rsidP="003F7485">
      <w:pPr>
        <w:rPr>
          <w:rFonts w:ascii="Calibri" w:hAnsi="Calibri" w:cs="Calibri"/>
          <w:color w:val="0070C0"/>
          <w:szCs w:val="20"/>
        </w:rPr>
      </w:pPr>
    </w:p>
    <w:p w:rsidR="003F7485" w:rsidRPr="001D1314" w:rsidRDefault="003F7485" w:rsidP="003F7485">
      <w:p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szCs w:val="20"/>
        </w:rPr>
        <w:t>Motivação da contratação, informar para fins de instrução do processo:</w:t>
      </w:r>
    </w:p>
    <w:p w:rsidR="003F7485" w:rsidRPr="001D1314" w:rsidRDefault="003F7485" w:rsidP="003F7485">
      <w:pPr>
        <w:rPr>
          <w:rFonts w:ascii="Calibri" w:hAnsi="Calibri" w:cs="Calibri"/>
          <w:szCs w:val="20"/>
        </w:rPr>
      </w:pPr>
    </w:p>
    <w:p w:rsidR="003F7485" w:rsidRPr="001D1314" w:rsidRDefault="003F7485" w:rsidP="003F7485">
      <w:pPr>
        <w:pStyle w:val="PargrafodaLista"/>
        <w:numPr>
          <w:ilvl w:val="0"/>
          <w:numId w:val="2"/>
        </w:numPr>
        <w:rPr>
          <w:rFonts w:ascii="Calibri" w:hAnsi="Calibri" w:cs="Calibri"/>
        </w:rPr>
      </w:pPr>
      <w:r w:rsidRPr="001D1314">
        <w:rPr>
          <w:rFonts w:ascii="Calibri" w:hAnsi="Calibri" w:cs="Calibri"/>
        </w:rPr>
        <w:t>benefícios diretos e indiretos que resultarão da contratação;</w:t>
      </w:r>
    </w:p>
    <w:p w:rsidR="003F7485" w:rsidRPr="001D1314" w:rsidRDefault="003F7485" w:rsidP="003F7485">
      <w:pPr>
        <w:pStyle w:val="PargrafodaLista"/>
        <w:numPr>
          <w:ilvl w:val="0"/>
          <w:numId w:val="2"/>
        </w:numPr>
        <w:rPr>
          <w:rFonts w:ascii="Calibri" w:hAnsi="Calibri" w:cs="Calibri"/>
        </w:rPr>
      </w:pPr>
      <w:r w:rsidRPr="001D1314">
        <w:rPr>
          <w:rFonts w:ascii="Calibri" w:hAnsi="Calibri" w:cs="Calibri"/>
        </w:rPr>
        <w:t>conexão entre a contratação e o planejamento existente;</w:t>
      </w:r>
    </w:p>
    <w:p w:rsidR="003F7485" w:rsidRPr="001D1314" w:rsidRDefault="003F7485" w:rsidP="003F7485">
      <w:pPr>
        <w:pStyle w:val="PargrafodaLista"/>
        <w:numPr>
          <w:ilvl w:val="0"/>
          <w:numId w:val="2"/>
        </w:numPr>
        <w:rPr>
          <w:rFonts w:ascii="Calibri" w:hAnsi="Calibri" w:cs="Calibri"/>
        </w:rPr>
      </w:pPr>
      <w:r w:rsidRPr="001D1314">
        <w:rPr>
          <w:rFonts w:ascii="Calibri" w:hAnsi="Calibri" w:cs="Calibri"/>
        </w:rPr>
        <w:t>critérios ambientais adotados, se houver;</w:t>
      </w:r>
    </w:p>
    <w:p w:rsidR="003F7485" w:rsidRPr="001D1314" w:rsidRDefault="003F7485" w:rsidP="003F7485">
      <w:pPr>
        <w:pStyle w:val="PargrafodaLista"/>
        <w:numPr>
          <w:ilvl w:val="0"/>
          <w:numId w:val="2"/>
        </w:numPr>
        <w:rPr>
          <w:rFonts w:ascii="Calibri" w:hAnsi="Calibri" w:cs="Calibri"/>
        </w:rPr>
      </w:pPr>
      <w:r w:rsidRPr="001D1314">
        <w:rPr>
          <w:rFonts w:ascii="Calibri" w:hAnsi="Calibri" w:cs="Calibri"/>
        </w:rPr>
        <w:t>referências a estudos preliminares, se houver;</w:t>
      </w:r>
    </w:p>
    <w:p w:rsidR="003F7485" w:rsidRPr="001D1314" w:rsidRDefault="003F7485" w:rsidP="003F7485">
      <w:pPr>
        <w:pStyle w:val="PargrafodaLista"/>
        <w:numPr>
          <w:ilvl w:val="0"/>
          <w:numId w:val="2"/>
        </w:numPr>
        <w:rPr>
          <w:rFonts w:ascii="Calibri" w:hAnsi="Calibri" w:cs="Calibri"/>
        </w:rPr>
      </w:pPr>
      <w:r w:rsidRPr="001D1314">
        <w:rPr>
          <w:rFonts w:ascii="Calibri" w:hAnsi="Calibri" w:cs="Calibri"/>
        </w:rPr>
        <w:t>natureza do serviço, se continuado ou não;</w:t>
      </w:r>
    </w:p>
    <w:p w:rsidR="003F7485" w:rsidRPr="001D1314" w:rsidRDefault="003F7485" w:rsidP="003F7485">
      <w:pPr>
        <w:rPr>
          <w:rFonts w:ascii="Calibri" w:hAnsi="Calibri" w:cs="Calibri"/>
          <w:szCs w:val="20"/>
        </w:rPr>
      </w:pPr>
    </w:p>
    <w:p w:rsidR="003F7485" w:rsidRPr="001D1314" w:rsidRDefault="003F7485" w:rsidP="003F7485">
      <w:pPr>
        <w:rPr>
          <w:rFonts w:ascii="Calibri" w:hAnsi="Calibri" w:cs="Calibri"/>
          <w:b/>
          <w:szCs w:val="20"/>
          <w:u w:val="single"/>
        </w:rPr>
      </w:pPr>
      <w:r w:rsidRPr="001D1314">
        <w:rPr>
          <w:rFonts w:ascii="Calibri" w:hAnsi="Calibri" w:cs="Calibri"/>
          <w:b/>
          <w:szCs w:val="20"/>
          <w:u w:val="single"/>
        </w:rPr>
        <w:t xml:space="preserve">Regime de execução: </w:t>
      </w:r>
    </w:p>
    <w:p w:rsidR="003F7485" w:rsidRPr="001D1314" w:rsidRDefault="003F7485" w:rsidP="003F7485">
      <w:pPr>
        <w:rPr>
          <w:rFonts w:ascii="Calibri" w:hAnsi="Calibri" w:cs="Calibri"/>
          <w:b/>
          <w:szCs w:val="20"/>
          <w:u w:val="single"/>
        </w:rPr>
      </w:pPr>
    </w:p>
    <w:p w:rsidR="003F7485" w:rsidRPr="001D1314" w:rsidRDefault="003F7485" w:rsidP="003F7485">
      <w:p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b/>
          <w:szCs w:val="20"/>
          <w:u w:val="single"/>
        </w:rPr>
        <w:t>Empreitada por Preços Unitários</w:t>
      </w:r>
      <w:r w:rsidRPr="001D1314">
        <w:rPr>
          <w:rFonts w:ascii="Calibri" w:hAnsi="Calibri" w:cs="Calibri"/>
          <w:szCs w:val="20"/>
        </w:rPr>
        <w:t>: preço certo de unidades determinadas. O pagamento será por medições das unidades efetivamente executadas</w:t>
      </w:r>
      <w:r w:rsidR="00C93E7F">
        <w:rPr>
          <w:rFonts w:ascii="Calibri" w:hAnsi="Calibri" w:cs="Calibri"/>
          <w:szCs w:val="20"/>
        </w:rPr>
        <w:t xml:space="preserve">. </w:t>
      </w:r>
      <w:r w:rsidRPr="001D1314">
        <w:rPr>
          <w:rFonts w:ascii="Calibri" w:hAnsi="Calibri" w:cs="Calibri"/>
          <w:szCs w:val="20"/>
        </w:rPr>
        <w:t>Este regime de execução é o mais apropriado para o objeto da licitação, pois será pago somente os serviços efetivamente executados, mediante medições mensais, dos preços unitários propostos pela contratada.</w:t>
      </w:r>
    </w:p>
    <w:p w:rsidR="003F7485" w:rsidRPr="001D1314" w:rsidRDefault="003F7485" w:rsidP="003F7485">
      <w:pPr>
        <w:rPr>
          <w:rFonts w:ascii="Calibri" w:hAnsi="Calibri" w:cs="Calibri"/>
          <w:szCs w:val="20"/>
        </w:rPr>
      </w:pPr>
    </w:p>
    <w:p w:rsidR="003F7485" w:rsidRPr="001D1314" w:rsidRDefault="003F7485" w:rsidP="003F7485">
      <w:p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b/>
          <w:szCs w:val="20"/>
          <w:u w:val="single"/>
        </w:rPr>
        <w:t>Critério de Julgamento</w:t>
      </w:r>
      <w:r w:rsidRPr="001D1314">
        <w:rPr>
          <w:rFonts w:ascii="Calibri" w:hAnsi="Calibri" w:cs="Calibri"/>
          <w:szCs w:val="20"/>
        </w:rPr>
        <w:t xml:space="preserve">: </w:t>
      </w:r>
      <w:r w:rsidRPr="001D1314">
        <w:rPr>
          <w:rFonts w:ascii="Calibri" w:hAnsi="Calibri" w:cs="Calibri"/>
          <w:b/>
          <w:szCs w:val="20"/>
        </w:rPr>
        <w:t>Menor preço</w:t>
      </w:r>
      <w:r w:rsidRPr="001D1314">
        <w:rPr>
          <w:rFonts w:ascii="Calibri" w:hAnsi="Calibri" w:cs="Calibri"/>
          <w:szCs w:val="20"/>
        </w:rPr>
        <w:t>, de acordo com o Art.54 da Lei n.º 13.303/2016.</w:t>
      </w:r>
    </w:p>
    <w:p w:rsidR="003F7485" w:rsidRPr="001D1314" w:rsidRDefault="003F7485" w:rsidP="003F7485">
      <w:pPr>
        <w:rPr>
          <w:rFonts w:ascii="Calibri" w:hAnsi="Calibri" w:cs="Calibri"/>
          <w:szCs w:val="20"/>
        </w:rPr>
      </w:pPr>
    </w:p>
    <w:p w:rsidR="003F7485" w:rsidRDefault="003F7485" w:rsidP="003F7485">
      <w:p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b/>
          <w:szCs w:val="20"/>
          <w:u w:val="single"/>
        </w:rPr>
        <w:t>Divulgação do valor orçado:</w:t>
      </w:r>
      <w:r w:rsidRPr="001D1314">
        <w:rPr>
          <w:rFonts w:ascii="Calibri" w:hAnsi="Calibri" w:cs="Calibri"/>
          <w:szCs w:val="20"/>
        </w:rPr>
        <w:t xml:space="preserve"> Será divulgado o valor orçado para servir como base, tendo em vista que o critério de julgamento é de menor preço.</w:t>
      </w:r>
    </w:p>
    <w:p w:rsidR="001A23D9" w:rsidRDefault="001A23D9" w:rsidP="003F7485">
      <w:pPr>
        <w:rPr>
          <w:rFonts w:ascii="Calibri" w:hAnsi="Calibri" w:cs="Calibri"/>
          <w:szCs w:val="20"/>
        </w:rPr>
      </w:pPr>
    </w:p>
    <w:p w:rsidR="001A23D9" w:rsidRDefault="001A23D9" w:rsidP="003F7485">
      <w:pPr>
        <w:rPr>
          <w:rFonts w:ascii="Calibri" w:eastAsia="Times New Roman" w:hAnsi="Calibri" w:cs="Calibri"/>
          <w:bCs/>
          <w:szCs w:val="20"/>
          <w:lang w:eastAsia="pt-BR"/>
        </w:rPr>
      </w:pPr>
      <w:r w:rsidRPr="001A23D9">
        <w:rPr>
          <w:rFonts w:ascii="Calibri" w:eastAsia="Times New Roman" w:hAnsi="Calibri" w:cs="Calibri"/>
          <w:bCs/>
          <w:szCs w:val="20"/>
          <w:lang w:eastAsia="pt-BR"/>
        </w:rPr>
        <w:t xml:space="preserve">O valor estimado para a contratação foi elaborado com base no Sistema de Preços, Custos e Índices da Caixa Econômica Federal (SINAPI), no estado do Maranhão na data base </w:t>
      </w:r>
      <w:r w:rsidRPr="001A23D9">
        <w:rPr>
          <w:rFonts w:ascii="Calibri" w:eastAsia="Times New Roman" w:hAnsi="Calibri" w:cs="Calibri"/>
          <w:bCs/>
          <w:szCs w:val="20"/>
          <w:lang w:eastAsia="pt-BR"/>
        </w:rPr>
        <w:t>Agosto</w:t>
      </w:r>
      <w:r w:rsidRPr="001A23D9">
        <w:rPr>
          <w:rFonts w:ascii="Calibri" w:eastAsia="Times New Roman" w:hAnsi="Calibri" w:cs="Calibri"/>
          <w:bCs/>
          <w:szCs w:val="20"/>
          <w:lang w:eastAsia="pt-BR"/>
        </w:rPr>
        <w:t>/2020</w:t>
      </w:r>
      <w:r w:rsidRPr="001A23D9">
        <w:rPr>
          <w:rFonts w:ascii="Calibri" w:eastAsia="Times New Roman" w:hAnsi="Calibri" w:cs="Calibri"/>
          <w:bCs/>
          <w:szCs w:val="20"/>
          <w:lang w:eastAsia="pt-BR"/>
        </w:rPr>
        <w:t xml:space="preserve"> e do </w:t>
      </w:r>
      <w:r w:rsidRPr="001A23D9">
        <w:rPr>
          <w:rFonts w:ascii="Calibri" w:eastAsia="Times New Roman" w:hAnsi="Calibri" w:cs="Calibri"/>
          <w:bCs/>
          <w:szCs w:val="20"/>
          <w:lang w:eastAsia="pt-BR"/>
        </w:rPr>
        <w:t>Sistema de Custos Referenciais de Obras</w:t>
      </w:r>
      <w:r w:rsidRPr="001A23D9">
        <w:rPr>
          <w:rFonts w:ascii="Calibri" w:eastAsia="Times New Roman" w:hAnsi="Calibri" w:cs="Calibri"/>
          <w:bCs/>
          <w:szCs w:val="20"/>
          <w:lang w:eastAsia="pt-BR"/>
        </w:rPr>
        <w:t xml:space="preserve"> (SICRO) na data base Abril/2020 </w:t>
      </w:r>
      <w:r w:rsidRPr="001A23D9">
        <w:rPr>
          <w:rFonts w:ascii="Calibri" w:eastAsia="Times New Roman" w:hAnsi="Calibri" w:cs="Calibri"/>
          <w:bCs/>
          <w:szCs w:val="20"/>
          <w:lang w:eastAsia="pt-BR"/>
        </w:rPr>
        <w:t>, não desonerado atendendo ao disposto na Lei nº 13.080 de 02/01/2015 (LDO 2015) e no decreto nº 7.983 de 08/04/2013. Já incluso o BDI, encargos sociais, taxas, impostos e emolumentos. Para os serviços e materiais não constantes nos sistemas de custos citados acima, foram efetuadas pesquisas de mercado, além de composição de preços unitários elaborados pela Codevasf.</w:t>
      </w:r>
    </w:p>
    <w:p w:rsidR="006927FE" w:rsidRDefault="006927FE" w:rsidP="003F7485">
      <w:pPr>
        <w:rPr>
          <w:rFonts w:ascii="Calibri" w:eastAsia="Times New Roman" w:hAnsi="Calibri" w:cs="Calibri"/>
          <w:bCs/>
          <w:szCs w:val="20"/>
          <w:lang w:eastAsia="pt-BR"/>
        </w:rPr>
      </w:pPr>
    </w:p>
    <w:p w:rsidR="006927FE" w:rsidRPr="006927FE" w:rsidRDefault="006927FE" w:rsidP="006927FE">
      <w:pPr>
        <w:spacing w:after="120"/>
        <w:rPr>
          <w:rFonts w:asciiTheme="minorHAnsi" w:hAnsiTheme="minorHAnsi" w:cstheme="minorHAnsi"/>
          <w:b/>
          <w:u w:val="single"/>
        </w:rPr>
      </w:pPr>
      <w:r w:rsidRPr="006927FE">
        <w:rPr>
          <w:rFonts w:asciiTheme="minorHAnsi" w:hAnsiTheme="minorHAnsi" w:cstheme="minorHAnsi"/>
          <w:b/>
          <w:u w:val="single"/>
        </w:rPr>
        <w:t>Modalidade Licitatória: Pregão Eletrônico</w:t>
      </w:r>
      <w:r>
        <w:rPr>
          <w:rFonts w:asciiTheme="minorHAnsi" w:hAnsiTheme="minorHAnsi" w:cstheme="minorHAnsi"/>
          <w:b/>
          <w:u w:val="single"/>
        </w:rPr>
        <w:t>.</w:t>
      </w:r>
    </w:p>
    <w:p w:rsidR="006927FE" w:rsidRPr="006927FE" w:rsidRDefault="006927FE" w:rsidP="006927FE">
      <w:pPr>
        <w:pStyle w:val="Corpodetexto"/>
        <w:spacing w:after="0"/>
        <w:ind w:right="108"/>
        <w:jc w:val="both"/>
        <w:rPr>
          <w:rFonts w:asciiTheme="minorHAnsi" w:hAnsiTheme="minorHAnsi" w:cstheme="minorHAnsi"/>
        </w:rPr>
      </w:pPr>
      <w:r w:rsidRPr="006927FE">
        <w:rPr>
          <w:rFonts w:asciiTheme="minorHAnsi" w:hAnsiTheme="minorHAnsi" w:cstheme="minorHAnsi"/>
        </w:rPr>
        <w:t>A licitação reger-se-á pelo disposto na Lei nº 10.520 de 17 de julho de 2002 (Lei do pregão) regulamentada pelo Decreto nº 10.024 de 20 de setembro 2019 (regulamento do E-pregão), e na Lei nº 13.303 de 30 junho de 2016 (Lei das Estatais), e respectivas alterações e regulamentos.</w:t>
      </w:r>
    </w:p>
    <w:p w:rsidR="006927FE" w:rsidRPr="006927FE" w:rsidRDefault="006927FE" w:rsidP="006927FE">
      <w:pPr>
        <w:pStyle w:val="Corpodetexto"/>
        <w:spacing w:after="0"/>
        <w:ind w:right="108"/>
        <w:jc w:val="both"/>
        <w:rPr>
          <w:rFonts w:asciiTheme="minorHAnsi" w:hAnsiTheme="minorHAnsi" w:cstheme="minorHAnsi"/>
        </w:rPr>
      </w:pPr>
      <w:r w:rsidRPr="006927FE">
        <w:rPr>
          <w:rFonts w:asciiTheme="minorHAnsi" w:hAnsiTheme="minorHAnsi" w:cstheme="minorHAnsi"/>
        </w:rPr>
        <w:lastRenderedPageBreak/>
        <w:t>Justifica-se a modalidade licitatória de acordo com o Acórdão TCU nº 713/2019, Súmula TCU nº 257 e no Inciso IV do Artigo 32 da Lei 13.303, de 30 de junho de 2016, tendo em vista que o objeto deste PB se trata de serviços comum com padrões de desempenho e qualidade definidos neste PB.</w:t>
      </w:r>
    </w:p>
    <w:p w:rsidR="001A23D9" w:rsidRDefault="001A23D9" w:rsidP="003F7485">
      <w:pPr>
        <w:rPr>
          <w:rFonts w:ascii="Calibri" w:eastAsia="Times New Roman" w:hAnsi="Calibri" w:cs="Calibri"/>
          <w:bCs/>
          <w:szCs w:val="20"/>
          <w:lang w:eastAsia="pt-BR"/>
        </w:rPr>
      </w:pPr>
    </w:p>
    <w:p w:rsidR="001A23D9" w:rsidRPr="001A23D9" w:rsidRDefault="001A23D9" w:rsidP="001A23D9">
      <w:pPr>
        <w:spacing w:after="120"/>
        <w:rPr>
          <w:rFonts w:asciiTheme="minorHAnsi" w:hAnsiTheme="minorHAnsi" w:cstheme="minorHAnsi"/>
          <w:b/>
          <w:szCs w:val="20"/>
          <w:u w:val="single"/>
        </w:rPr>
      </w:pPr>
      <w:r w:rsidRPr="001A23D9">
        <w:rPr>
          <w:rFonts w:asciiTheme="minorHAnsi" w:hAnsiTheme="minorHAnsi" w:cstheme="minorHAnsi"/>
          <w:b/>
          <w:u w:val="single"/>
        </w:rPr>
        <w:t>Modo de Disputa:</w:t>
      </w:r>
    </w:p>
    <w:p w:rsidR="001A23D9" w:rsidRPr="001A23D9" w:rsidRDefault="001A23D9" w:rsidP="001A23D9">
      <w:pPr>
        <w:rPr>
          <w:rFonts w:asciiTheme="minorHAnsi" w:hAnsiTheme="minorHAnsi" w:cstheme="minorHAnsi"/>
        </w:rPr>
      </w:pPr>
      <w:r w:rsidRPr="001A23D9">
        <w:rPr>
          <w:rFonts w:asciiTheme="minorHAnsi" w:hAnsiTheme="minorHAnsi" w:cstheme="minorHAnsi"/>
          <w:u w:val="single"/>
        </w:rPr>
        <w:t>Aberto com orçamento público.</w:t>
      </w:r>
      <w:r w:rsidRPr="001A23D9">
        <w:rPr>
          <w:rFonts w:asciiTheme="minorHAnsi" w:hAnsiTheme="minorHAnsi" w:cstheme="minorHAnsi"/>
        </w:rPr>
        <w:t xml:space="preserve"> Observando o princípio da publicidade. Conforme Acórdão nº 1502/2018 – Plenário TCU: “Nas licitações realizadas pelas empresas estatais, sempre que o orçamento de referência for utilizado como critério de aceitabilidade das propostas, sua divulgação no edital é obrigatória, e não facultativa, em observância ao princípio constitucional da publicidade e, ainda, por não haver no art. 34 da Lei nº 13.303/2016 (Lei das Estatais) proibição absoluta à revelação do orçamento.”</w:t>
      </w:r>
    </w:p>
    <w:p w:rsidR="001A23D9" w:rsidRPr="001A23D9" w:rsidRDefault="001A23D9" w:rsidP="001A23D9">
      <w:pPr>
        <w:rPr>
          <w:rFonts w:asciiTheme="minorHAnsi" w:hAnsiTheme="minorHAnsi" w:cstheme="minorHAnsi"/>
        </w:rPr>
      </w:pPr>
    </w:p>
    <w:p w:rsidR="001A23D9" w:rsidRPr="001A23D9" w:rsidRDefault="001A23D9" w:rsidP="001A23D9">
      <w:pPr>
        <w:rPr>
          <w:rFonts w:asciiTheme="minorHAnsi" w:hAnsiTheme="minorHAnsi" w:cstheme="minorHAnsi"/>
          <w:b/>
          <w:bCs/>
          <w:i/>
          <w:iCs/>
        </w:rPr>
      </w:pPr>
      <w:r w:rsidRPr="001A23D9">
        <w:rPr>
          <w:rFonts w:asciiTheme="minorHAnsi" w:hAnsiTheme="minorHAnsi" w:cstheme="minorHAnsi"/>
          <w:b/>
          <w:bCs/>
        </w:rPr>
        <w:t xml:space="preserve">ABERTO, </w:t>
      </w:r>
      <w:r w:rsidRPr="001A23D9">
        <w:rPr>
          <w:rFonts w:asciiTheme="minorHAnsi" w:hAnsiTheme="minorHAnsi" w:cstheme="minorHAnsi"/>
          <w:b/>
          <w:bCs/>
          <w:i/>
          <w:iCs/>
        </w:rPr>
        <w:t>com lance intermediário mínimo no valor de 0,5% (meio por cento) correspondente ao valor</w:t>
      </w:r>
      <w:r w:rsidR="008713F1">
        <w:rPr>
          <w:rFonts w:asciiTheme="minorHAnsi" w:hAnsiTheme="minorHAnsi" w:cstheme="minorHAnsi"/>
          <w:b/>
          <w:bCs/>
          <w:i/>
          <w:iCs/>
        </w:rPr>
        <w:t xml:space="preserve"> total</w:t>
      </w:r>
      <w:r w:rsidRPr="001A23D9">
        <w:rPr>
          <w:rFonts w:asciiTheme="minorHAnsi" w:hAnsiTheme="minorHAnsi" w:cstheme="minorHAnsi"/>
          <w:b/>
          <w:bCs/>
          <w:i/>
          <w:iCs/>
        </w:rPr>
        <w:t xml:space="preserve"> orçado (Anexo VI</w:t>
      </w:r>
      <w:r w:rsidR="008713F1">
        <w:rPr>
          <w:rFonts w:asciiTheme="minorHAnsi" w:hAnsiTheme="minorHAnsi" w:cstheme="minorHAnsi"/>
          <w:b/>
          <w:bCs/>
          <w:i/>
          <w:iCs/>
        </w:rPr>
        <w:t xml:space="preserve"> – Planilha Orçamentária</w:t>
      </w:r>
      <w:r w:rsidRPr="001A23D9">
        <w:rPr>
          <w:rFonts w:asciiTheme="minorHAnsi" w:hAnsiTheme="minorHAnsi" w:cstheme="minorHAnsi"/>
          <w:b/>
          <w:bCs/>
          <w:i/>
          <w:iCs/>
        </w:rPr>
        <w:t xml:space="preserve">), Art. 32 do Decreto 10.024/2019. </w:t>
      </w:r>
    </w:p>
    <w:p w:rsidR="006927FE" w:rsidRPr="001D1314" w:rsidRDefault="006927FE" w:rsidP="006927FE">
      <w:pPr>
        <w:rPr>
          <w:rFonts w:ascii="Calibri" w:hAnsi="Calibri" w:cs="Calibri"/>
          <w:szCs w:val="20"/>
        </w:rPr>
      </w:pPr>
      <w:bookmarkStart w:id="12" w:name="_GoBack"/>
      <w:bookmarkEnd w:id="12"/>
    </w:p>
    <w:p w:rsidR="006927FE" w:rsidRPr="001D1314" w:rsidRDefault="006927FE" w:rsidP="006927FE">
      <w:pPr>
        <w:rPr>
          <w:rFonts w:ascii="Calibri" w:hAnsi="Calibri" w:cs="Calibri"/>
          <w:szCs w:val="20"/>
        </w:rPr>
      </w:pPr>
      <w:r w:rsidRPr="00A608BB">
        <w:rPr>
          <w:rFonts w:ascii="Calibri" w:hAnsi="Calibri" w:cs="Calibri"/>
          <w:b/>
          <w:szCs w:val="20"/>
          <w:u w:val="single"/>
        </w:rPr>
        <w:t>Desapropriação</w:t>
      </w:r>
      <w:r w:rsidRPr="001D1314">
        <w:rPr>
          <w:rFonts w:ascii="Calibri" w:hAnsi="Calibri" w:cs="Calibri"/>
          <w:szCs w:val="20"/>
        </w:rPr>
        <w:t>: Não aplicável. Desta forma, não será necessária a desapropriação de imóveis particulares, sendo desnecessária a elaboração do Projeto de Desapropriação.</w:t>
      </w:r>
    </w:p>
    <w:p w:rsidR="006927FE" w:rsidRPr="001D1314" w:rsidRDefault="006927FE" w:rsidP="003F7485">
      <w:pPr>
        <w:rPr>
          <w:rFonts w:ascii="Calibri" w:hAnsi="Calibri" w:cs="Calibri"/>
          <w:color w:val="FF0000"/>
          <w:szCs w:val="20"/>
        </w:rPr>
      </w:pPr>
    </w:p>
    <w:p w:rsidR="003F7485" w:rsidRPr="008E569A" w:rsidRDefault="003F7485" w:rsidP="003F7485">
      <w:pPr>
        <w:pStyle w:val="Ttulo2"/>
        <w:numPr>
          <w:ilvl w:val="0"/>
          <w:numId w:val="0"/>
        </w:num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b/>
          <w:szCs w:val="20"/>
          <w:u w:val="single"/>
        </w:rPr>
        <w:t>Aprovação do Projeto Básico</w:t>
      </w:r>
      <w:r w:rsidRPr="001D1314">
        <w:rPr>
          <w:rFonts w:ascii="Calibri" w:hAnsi="Calibri" w:cs="Calibri"/>
          <w:szCs w:val="20"/>
        </w:rPr>
        <w:t xml:space="preserve">: </w:t>
      </w:r>
      <w:r>
        <w:rPr>
          <w:rFonts w:ascii="Calibri" w:hAnsi="Calibri" w:cs="Calibri"/>
          <w:szCs w:val="20"/>
        </w:rPr>
        <w:t xml:space="preserve">O projeto básico foi aprovado por ato da autoridade competente conforme consta no processo n° 59580 . 000353 / 2019 – 97. </w:t>
      </w:r>
      <w:r w:rsidRPr="008E569A">
        <w:rPr>
          <w:rFonts w:ascii="Calibri" w:hAnsi="Calibri" w:cs="Calibri"/>
          <w:szCs w:val="20"/>
        </w:rPr>
        <w:t>Sendo a planilha dos custos estimados condizentes com os de mercado e referenciados nas planilhas oficiais de composição de custo, conforme Decreto n</w:t>
      </w:r>
      <w:r w:rsidRPr="008E569A">
        <w:rPr>
          <w:rFonts w:ascii="Calibri" w:hAnsi="Calibri" w:cs="Calibri"/>
          <w:szCs w:val="20"/>
          <w:vertAlign w:val="superscript"/>
        </w:rPr>
        <w:t>o</w:t>
      </w:r>
      <w:r w:rsidRPr="008E569A">
        <w:rPr>
          <w:rFonts w:ascii="Calibri" w:hAnsi="Calibri" w:cs="Calibri"/>
          <w:szCs w:val="20"/>
        </w:rPr>
        <w:t xml:space="preserve"> 7.983 de 08.04.2013, no valor de </w:t>
      </w:r>
      <w:r w:rsidRPr="008E569A">
        <w:rPr>
          <w:rFonts w:ascii="Calibri" w:hAnsi="Calibri" w:cs="Calibri"/>
        </w:rPr>
        <w:t xml:space="preserve">R$ </w:t>
      </w:r>
      <w:r w:rsidR="00C523D1" w:rsidRPr="00C523D1">
        <w:rPr>
          <w:rFonts w:ascii="Calibri" w:hAnsi="Calibri" w:cs="Calibri"/>
        </w:rPr>
        <w:t>13.632.803,91</w:t>
      </w:r>
      <w:r w:rsidRPr="008E569A">
        <w:rPr>
          <w:rFonts w:ascii="Calibri" w:hAnsi="Calibri" w:cs="Calibri"/>
        </w:rPr>
        <w:t xml:space="preserve"> (</w:t>
      </w:r>
      <w:r w:rsidR="00C523D1" w:rsidRPr="00C523D1">
        <w:rPr>
          <w:rFonts w:ascii="Calibri" w:hAnsi="Calibri" w:cs="Calibri"/>
        </w:rPr>
        <w:t>treze milhões e seiscentos e trinta e dois mil e oitocentos e três reais e noventa e um centavos</w:t>
      </w:r>
      <w:r w:rsidRPr="008E569A">
        <w:rPr>
          <w:rFonts w:ascii="Calibri" w:hAnsi="Calibri" w:cs="Calibri"/>
        </w:rPr>
        <w:t xml:space="preserve">) com data-base de </w:t>
      </w:r>
      <w:r w:rsidR="00A608BB">
        <w:rPr>
          <w:rFonts w:ascii="Calibri" w:hAnsi="Calibri" w:cs="Calibri"/>
        </w:rPr>
        <w:t>abril</w:t>
      </w:r>
      <w:r w:rsidRPr="008E569A">
        <w:rPr>
          <w:rFonts w:ascii="Calibri" w:hAnsi="Calibri" w:cs="Calibri"/>
        </w:rPr>
        <w:t xml:space="preserve"> de 20</w:t>
      </w:r>
      <w:r w:rsidR="00A608BB">
        <w:rPr>
          <w:rFonts w:ascii="Calibri" w:hAnsi="Calibri" w:cs="Calibri"/>
        </w:rPr>
        <w:t>20</w:t>
      </w:r>
      <w:r w:rsidRPr="008E569A">
        <w:rPr>
          <w:rFonts w:ascii="Calibri" w:hAnsi="Calibri" w:cs="Calibri"/>
        </w:rPr>
        <w:t>.</w:t>
      </w:r>
    </w:p>
    <w:p w:rsidR="003F7485" w:rsidRPr="001D1314" w:rsidRDefault="003F7485" w:rsidP="003F7485">
      <w:pPr>
        <w:rPr>
          <w:rFonts w:ascii="Calibri" w:hAnsi="Calibri" w:cs="Calibri"/>
          <w:color w:val="0070C0"/>
          <w:szCs w:val="20"/>
        </w:rPr>
      </w:pPr>
    </w:p>
    <w:p w:rsidR="003F7485" w:rsidRPr="001D1314" w:rsidRDefault="003F7485" w:rsidP="003F7485">
      <w:pPr>
        <w:rPr>
          <w:rFonts w:ascii="Calibri" w:hAnsi="Calibri" w:cs="Calibri"/>
          <w:color w:val="FF0000"/>
          <w:szCs w:val="20"/>
        </w:rPr>
      </w:pPr>
      <w:r w:rsidRPr="001D1314">
        <w:rPr>
          <w:rFonts w:ascii="Calibri" w:hAnsi="Calibri" w:cs="Calibri"/>
          <w:b/>
          <w:szCs w:val="20"/>
          <w:u w:val="single"/>
        </w:rPr>
        <w:t>Qualificação Técnica:</w:t>
      </w:r>
      <w:r w:rsidRPr="001D1314">
        <w:rPr>
          <w:rFonts w:ascii="Calibri" w:hAnsi="Calibri" w:cs="Calibri"/>
          <w:color w:val="FF0000"/>
          <w:szCs w:val="20"/>
        </w:rPr>
        <w:t xml:space="preserve"> </w:t>
      </w:r>
      <w:r w:rsidRPr="001D1314">
        <w:rPr>
          <w:rFonts w:ascii="Calibri" w:hAnsi="Calibri" w:cs="Calibri"/>
          <w:szCs w:val="20"/>
        </w:rPr>
        <w:t>As exigências técnicas são imprescindíveis para que a vencedora do certame em questão tenha total capacidade técnica de executar os serviços de engenharia com a segurança e a qualidade esperada para o empreendimento.</w:t>
      </w:r>
    </w:p>
    <w:p w:rsidR="003F7485" w:rsidRPr="001D1314" w:rsidRDefault="003F7485" w:rsidP="003F7485">
      <w:pPr>
        <w:rPr>
          <w:rFonts w:ascii="Calibri" w:hAnsi="Calibri" w:cs="Calibri"/>
          <w:b/>
          <w:i/>
          <w:szCs w:val="20"/>
        </w:rPr>
      </w:pPr>
    </w:p>
    <w:p w:rsidR="003F7485" w:rsidRPr="001D1314" w:rsidRDefault="003F7485" w:rsidP="003F7485">
      <w:p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b/>
          <w:szCs w:val="20"/>
          <w:u w:val="single"/>
        </w:rPr>
        <w:t>Licença Ambiental:</w:t>
      </w:r>
      <w:r w:rsidRPr="001D1314">
        <w:rPr>
          <w:rFonts w:ascii="Calibri" w:hAnsi="Calibri" w:cs="Calibri"/>
          <w:szCs w:val="20"/>
        </w:rPr>
        <w:t xml:space="preserve"> </w:t>
      </w:r>
      <w:r>
        <w:rPr>
          <w:rFonts w:ascii="Calibri" w:hAnsi="Calibri" w:cs="Calibri"/>
          <w:szCs w:val="20"/>
        </w:rPr>
        <w:t xml:space="preserve">Em fase de emissão pela 8ª GRR/UMA. </w:t>
      </w:r>
      <w:r w:rsidRPr="001D1314">
        <w:rPr>
          <w:rFonts w:ascii="Calibri" w:hAnsi="Calibri" w:cs="Calibri"/>
          <w:szCs w:val="20"/>
        </w:rPr>
        <w:t xml:space="preserve">O Licenciamento Ambiental ou Dispensa de Licenciamento Ambiental será disponibilizado </w:t>
      </w:r>
      <w:r>
        <w:rPr>
          <w:rFonts w:ascii="Calibri" w:hAnsi="Calibri" w:cs="Calibri"/>
          <w:szCs w:val="20"/>
        </w:rPr>
        <w:t>pela fiscalização da Codevasf à</w:t>
      </w:r>
      <w:r w:rsidRPr="001D1314">
        <w:rPr>
          <w:rFonts w:ascii="Calibri" w:hAnsi="Calibri" w:cs="Calibri"/>
          <w:szCs w:val="20"/>
        </w:rPr>
        <w:t xml:space="preserve"> Contratada, cabendo a contratada a renovação da mesma. Por meio do órgão responsável pela emissão da mesma. A Ordem de Serviço somente será emitida após a obtenção da citada Anuência Ambiental.</w:t>
      </w:r>
    </w:p>
    <w:p w:rsidR="003F7485" w:rsidRDefault="003F7485" w:rsidP="003F7485">
      <w:pPr>
        <w:rPr>
          <w:rFonts w:ascii="Calibri" w:hAnsi="Calibri" w:cs="Calibri"/>
          <w:szCs w:val="20"/>
        </w:rPr>
      </w:pPr>
      <w:r w:rsidRPr="001D1314">
        <w:rPr>
          <w:rFonts w:ascii="Calibri" w:hAnsi="Calibri" w:cs="Calibri"/>
          <w:szCs w:val="20"/>
        </w:rPr>
        <w:t>Obs.: Quando dispensável a licença deverá ser indicada, e anexada ao processo, a base legal da dispensa.</w:t>
      </w:r>
    </w:p>
    <w:p w:rsidR="006927FE" w:rsidRDefault="006927FE" w:rsidP="003F7485">
      <w:pPr>
        <w:rPr>
          <w:rFonts w:ascii="Calibri" w:hAnsi="Calibri" w:cs="Calibri"/>
          <w:szCs w:val="20"/>
        </w:rPr>
      </w:pPr>
    </w:p>
    <w:p w:rsidR="006927FE" w:rsidRPr="001D1314" w:rsidRDefault="006927FE" w:rsidP="006927FE">
      <w:pPr>
        <w:rPr>
          <w:rFonts w:ascii="Calibri" w:hAnsi="Calibri" w:cs="Calibri"/>
          <w:color w:val="0070C0"/>
          <w:szCs w:val="20"/>
        </w:rPr>
      </w:pPr>
      <w:r w:rsidRPr="001D1314">
        <w:rPr>
          <w:rFonts w:ascii="Calibri" w:hAnsi="Calibri" w:cs="Calibri"/>
          <w:b/>
          <w:szCs w:val="20"/>
          <w:u w:val="single"/>
        </w:rPr>
        <w:t>Permite Participação de Consórcios</w:t>
      </w:r>
      <w:r w:rsidRPr="001D1314">
        <w:rPr>
          <w:rFonts w:ascii="Calibri" w:hAnsi="Calibri" w:cs="Calibri"/>
          <w:color w:val="0070C0"/>
          <w:szCs w:val="20"/>
        </w:rPr>
        <w:t xml:space="preserve">: </w:t>
      </w:r>
    </w:p>
    <w:p w:rsidR="006927FE" w:rsidRPr="001D1314" w:rsidRDefault="006927FE" w:rsidP="006927FE">
      <w:pPr>
        <w:rPr>
          <w:rFonts w:ascii="Calibri" w:hAnsi="Calibri" w:cs="Calibri"/>
          <w:color w:val="0070C0"/>
          <w:szCs w:val="20"/>
        </w:rPr>
      </w:pPr>
    </w:p>
    <w:p w:rsidR="006927FE" w:rsidRPr="006927FE" w:rsidRDefault="006927FE" w:rsidP="006927FE">
      <w:pPr>
        <w:pStyle w:val="Ttulo3"/>
        <w:numPr>
          <w:ilvl w:val="0"/>
          <w:numId w:val="0"/>
        </w:numPr>
        <w:rPr>
          <w:rFonts w:ascii="Calibri" w:hAnsi="Calibri" w:cs="Calibri"/>
          <w:szCs w:val="27"/>
        </w:rPr>
      </w:pPr>
      <w:r w:rsidRPr="001D1314">
        <w:rPr>
          <w:rFonts w:ascii="Calibri" w:hAnsi="Calibri" w:cs="Calibri"/>
          <w:b/>
          <w:u w:val="single"/>
        </w:rPr>
        <w:t>Não:</w:t>
      </w:r>
      <w:r w:rsidRPr="001D1314">
        <w:rPr>
          <w:rFonts w:ascii="Calibri" w:hAnsi="Calibri" w:cs="Calibri"/>
        </w:rPr>
        <w:t xml:space="preserve"> Não será permitida, na presente licitação, a participação de empresas em consórcio, tendo em vista, que o objeto em questão não é considerado de alta complexidade ou vulto, sendo, portanto, improvável a geração de algum fator técnico, operacional ou econômico, que venha privar a participação de empresas consideradas do ramo para execução do presente objeto.</w:t>
      </w:r>
    </w:p>
    <w:p w:rsidR="006E0ECF" w:rsidRPr="00325ED4" w:rsidRDefault="006E0ECF">
      <w:pPr>
        <w:rPr>
          <w:rFonts w:asciiTheme="minorHAnsi" w:hAnsiTheme="minorHAnsi" w:cstheme="minorHAnsi"/>
        </w:rPr>
      </w:pPr>
    </w:p>
    <w:p w:rsidR="00325ED4" w:rsidRPr="00325ED4" w:rsidRDefault="00325ED4" w:rsidP="00325ED4">
      <w:pPr>
        <w:rPr>
          <w:rFonts w:ascii="Calibri" w:hAnsi="Calibri" w:cs="Calibri"/>
          <w:b/>
          <w:szCs w:val="20"/>
          <w:u w:val="single"/>
        </w:rPr>
      </w:pPr>
      <w:r w:rsidRPr="00325ED4">
        <w:rPr>
          <w:rFonts w:ascii="Calibri" w:hAnsi="Calibri" w:cs="Calibri"/>
          <w:b/>
          <w:szCs w:val="20"/>
          <w:u w:val="single"/>
        </w:rPr>
        <w:t>Permissão de Subcontratação:</w:t>
      </w:r>
      <w:r w:rsidRPr="00325ED4">
        <w:rPr>
          <w:rFonts w:ascii="Calibri" w:hAnsi="Calibri" w:cs="Calibri"/>
          <w:b/>
          <w:szCs w:val="20"/>
          <w:u w:val="single"/>
        </w:rPr>
        <w:t xml:space="preserve"> </w:t>
      </w:r>
    </w:p>
    <w:p w:rsidR="00325ED4" w:rsidRPr="00325ED4" w:rsidRDefault="00325ED4" w:rsidP="00325ED4">
      <w:pPr>
        <w:rPr>
          <w:rFonts w:ascii="Calibri" w:hAnsi="Calibri" w:cs="Calibri"/>
          <w:b/>
          <w:szCs w:val="20"/>
          <w:u w:val="single"/>
        </w:rPr>
      </w:pPr>
      <w:r w:rsidRPr="00325ED4">
        <w:rPr>
          <w:rFonts w:ascii="Calibri" w:hAnsi="Calibri" w:cs="Calibri"/>
          <w:b/>
          <w:szCs w:val="20"/>
          <w:u w:val="single"/>
        </w:rPr>
        <w:t>P</w:t>
      </w:r>
      <w:r w:rsidRPr="00325ED4">
        <w:rPr>
          <w:rFonts w:ascii="Calibri" w:hAnsi="Calibri" w:cs="Calibri"/>
          <w:b/>
          <w:szCs w:val="20"/>
          <w:u w:val="single"/>
        </w:rPr>
        <w:t>ermitida</w:t>
      </w:r>
      <w:r w:rsidRPr="00325ED4">
        <w:rPr>
          <w:rFonts w:ascii="Calibri" w:hAnsi="Calibri" w:cs="Calibri"/>
          <w:bCs/>
          <w:szCs w:val="20"/>
        </w:rPr>
        <w:t xml:space="preserve"> para os itens citados no item 6.3</w:t>
      </w:r>
      <w:r w:rsidR="008713F1">
        <w:rPr>
          <w:rFonts w:ascii="Calibri" w:hAnsi="Calibri" w:cs="Calibri"/>
          <w:bCs/>
          <w:szCs w:val="20"/>
        </w:rPr>
        <w:t>.1</w:t>
      </w:r>
      <w:r w:rsidRPr="00325ED4">
        <w:rPr>
          <w:rFonts w:ascii="Calibri" w:hAnsi="Calibri" w:cs="Calibri"/>
          <w:bCs/>
          <w:szCs w:val="20"/>
        </w:rPr>
        <w:t xml:space="preserve"> do presente TR, que são itens de menor relevância da planilha orçamentária, </w:t>
      </w:r>
      <w:r>
        <w:rPr>
          <w:rFonts w:ascii="Calibri" w:hAnsi="Calibri" w:cs="Calibri"/>
          <w:bCs/>
          <w:szCs w:val="20"/>
        </w:rPr>
        <w:t xml:space="preserve">respeitando os percentuais máximo e mínimo estipulados no item 6.3.2 </w:t>
      </w:r>
      <w:r w:rsidR="008713F1">
        <w:rPr>
          <w:rFonts w:ascii="Calibri" w:hAnsi="Calibri" w:cs="Calibri"/>
          <w:bCs/>
          <w:szCs w:val="20"/>
        </w:rPr>
        <w:t xml:space="preserve">e </w:t>
      </w:r>
      <w:r w:rsidRPr="00325ED4">
        <w:rPr>
          <w:rFonts w:ascii="Calibri" w:hAnsi="Calibri" w:cs="Calibri"/>
          <w:bCs/>
          <w:szCs w:val="20"/>
        </w:rPr>
        <w:t>com a devida anuência da Codevasf</w:t>
      </w:r>
      <w:r w:rsidRPr="00325ED4">
        <w:rPr>
          <w:rFonts w:ascii="Calibri" w:hAnsi="Calibri" w:cs="Calibri"/>
          <w:bCs/>
          <w:szCs w:val="20"/>
        </w:rPr>
        <w:t>.</w:t>
      </w:r>
      <w:r w:rsidRPr="00325ED4">
        <w:rPr>
          <w:rFonts w:ascii="Calibri" w:hAnsi="Calibri" w:cs="Calibri"/>
          <w:b/>
          <w:szCs w:val="20"/>
          <w:u w:val="single"/>
        </w:rPr>
        <w:t xml:space="preserve"> </w:t>
      </w:r>
    </w:p>
    <w:p w:rsidR="00325ED4" w:rsidRDefault="00325ED4"/>
    <w:p w:rsidR="00325ED4" w:rsidRDefault="00325ED4" w:rsidP="00325ED4">
      <w:pPr>
        <w:rPr>
          <w:rFonts w:ascii="Calibri" w:hAnsi="Calibri" w:cs="Calibri"/>
          <w:b/>
          <w:szCs w:val="20"/>
          <w:u w:val="single"/>
        </w:rPr>
      </w:pPr>
      <w:r w:rsidRPr="00325ED4">
        <w:rPr>
          <w:rFonts w:ascii="Calibri" w:hAnsi="Calibri" w:cs="Calibri"/>
          <w:b/>
          <w:szCs w:val="20"/>
          <w:u w:val="single"/>
        </w:rPr>
        <w:t>Visita:</w:t>
      </w:r>
      <w:r>
        <w:rPr>
          <w:rFonts w:ascii="Calibri" w:hAnsi="Calibri" w:cs="Calibri"/>
          <w:b/>
          <w:szCs w:val="20"/>
          <w:u w:val="single"/>
        </w:rPr>
        <w:t xml:space="preserve"> </w:t>
      </w:r>
    </w:p>
    <w:p w:rsidR="00325ED4" w:rsidRPr="00325ED4" w:rsidRDefault="00325ED4" w:rsidP="00325ED4">
      <w:pPr>
        <w:rPr>
          <w:rFonts w:ascii="Calibri" w:hAnsi="Calibri" w:cs="Calibri"/>
          <w:bCs/>
          <w:szCs w:val="20"/>
        </w:rPr>
      </w:pPr>
      <w:r w:rsidRPr="00325ED4">
        <w:rPr>
          <w:rFonts w:ascii="Calibri" w:hAnsi="Calibri" w:cs="Calibri"/>
          <w:b/>
          <w:szCs w:val="20"/>
          <w:u w:val="single"/>
        </w:rPr>
        <w:t>Exigida declaração</w:t>
      </w:r>
      <w:r w:rsidRPr="00325ED4">
        <w:rPr>
          <w:rFonts w:ascii="Calibri" w:hAnsi="Calibri" w:cs="Calibri"/>
          <w:bCs/>
          <w:szCs w:val="20"/>
        </w:rPr>
        <w:t>. Recomenda-se às LICITANTES que seja realizada a visita aos locais onde serão executados os serviços e suas circunvizinhanças, para tomar pleno conhecimento das condições e peculiaridades inerentes à natureza dos trabalhos a serem executados, avaliando os problemas futuros de modo que os custos propostos cubram quaisquer dificuldades decorrentes de sua execução, e obter, sob sua exclusiva responsabilidade, todas as informações que possam ser necessárias para a elaboração da proposta e execução do contrato.</w:t>
      </w:r>
    </w:p>
    <w:p w:rsidR="00325ED4" w:rsidRDefault="00325ED4"/>
    <w:sectPr w:rsidR="00325ED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7EF4" w:rsidRDefault="00747EF4" w:rsidP="002B5C27">
      <w:r>
        <w:separator/>
      </w:r>
    </w:p>
  </w:endnote>
  <w:endnote w:type="continuationSeparator" w:id="0">
    <w:p w:rsidR="00747EF4" w:rsidRDefault="00747EF4" w:rsidP="002B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7EF4" w:rsidRDefault="00747EF4" w:rsidP="002B5C27">
      <w:r>
        <w:separator/>
      </w:r>
    </w:p>
  </w:footnote>
  <w:footnote w:type="continuationSeparator" w:id="0">
    <w:p w:rsidR="00747EF4" w:rsidRDefault="00747EF4" w:rsidP="002B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B5C27" w:rsidRDefault="002B5C27">
    <w:pPr>
      <w:pStyle w:val="Cabealho"/>
    </w:pPr>
    <w:r>
      <w:rPr>
        <w:noProof/>
        <w:lang w:eastAsia="pt-BR"/>
      </w:rPr>
      <w:drawing>
        <wp:inline distT="0" distB="0" distL="0" distR="0">
          <wp:extent cx="5400040" cy="393700"/>
          <wp:effectExtent l="0" t="0" r="0" b="635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devas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A69D5"/>
    <w:multiLevelType w:val="multilevel"/>
    <w:tmpl w:val="418E7758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bCs/>
        <w:color w:val="000000" w:themeColor="text1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ascii="Calibri" w:hAnsi="Calibri" w:cs="Calibri"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B7E3B5B"/>
    <w:multiLevelType w:val="hybridMultilevel"/>
    <w:tmpl w:val="6866AEF0"/>
    <w:lvl w:ilvl="0" w:tplc="A1360BC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07C"/>
    <w:rsid w:val="0001406B"/>
    <w:rsid w:val="001A23D9"/>
    <w:rsid w:val="002B5C27"/>
    <w:rsid w:val="00325ED4"/>
    <w:rsid w:val="003F7485"/>
    <w:rsid w:val="006927FE"/>
    <w:rsid w:val="006E0ECF"/>
    <w:rsid w:val="00747EF4"/>
    <w:rsid w:val="008713F1"/>
    <w:rsid w:val="009A2AB4"/>
    <w:rsid w:val="00A608BB"/>
    <w:rsid w:val="00C523D1"/>
    <w:rsid w:val="00C93E7F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07C49"/>
  <w15:chartTrackingRefBased/>
  <w15:docId w15:val="{68AD779A-C95F-47E5-9FCE-97CACA9A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485"/>
    <w:pPr>
      <w:spacing w:after="0" w:line="240" w:lineRule="auto"/>
      <w:jc w:val="both"/>
    </w:pPr>
    <w:rPr>
      <w:rFonts w:ascii="Arial" w:hAnsi="Arial" w:cs="Arial"/>
      <w:sz w:val="20"/>
      <w:szCs w:val="24"/>
    </w:rPr>
  </w:style>
  <w:style w:type="paragraph" w:styleId="Ttulo1">
    <w:name w:val="heading 1"/>
    <w:basedOn w:val="PargrafodaLista"/>
    <w:next w:val="Normal"/>
    <w:link w:val="Ttulo1Char"/>
    <w:qFormat/>
    <w:rsid w:val="003F7485"/>
    <w:pPr>
      <w:numPr>
        <w:numId w:val="1"/>
      </w:numPr>
      <w:outlineLvl w:val="0"/>
    </w:pPr>
    <w:rPr>
      <w:b/>
    </w:rPr>
  </w:style>
  <w:style w:type="paragraph" w:styleId="Ttulo2">
    <w:name w:val="heading 2"/>
    <w:basedOn w:val="Ttulo1"/>
    <w:next w:val="Normal"/>
    <w:link w:val="Ttulo2Char"/>
    <w:unhideWhenUsed/>
    <w:qFormat/>
    <w:rsid w:val="003F7485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nhideWhenUsed/>
    <w:qFormat/>
    <w:rsid w:val="003F7485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nhideWhenUsed/>
    <w:qFormat/>
    <w:rsid w:val="003F7485"/>
    <w:pPr>
      <w:numPr>
        <w:ilvl w:val="3"/>
      </w:numPr>
      <w:ind w:left="1021" w:hanging="1021"/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7485"/>
    <w:rPr>
      <w:rFonts w:ascii="Arial" w:hAnsi="Arial" w:cs="Arial"/>
      <w:b/>
      <w:sz w:val="20"/>
      <w:szCs w:val="24"/>
    </w:rPr>
  </w:style>
  <w:style w:type="character" w:customStyle="1" w:styleId="Ttulo2Char">
    <w:name w:val="Título 2 Char"/>
    <w:basedOn w:val="Fontepargpadro"/>
    <w:link w:val="Ttulo2"/>
    <w:rsid w:val="003F7485"/>
    <w:rPr>
      <w:rFonts w:ascii="Arial" w:hAnsi="Arial" w:cs="Arial"/>
      <w:sz w:val="20"/>
      <w:szCs w:val="24"/>
    </w:rPr>
  </w:style>
  <w:style w:type="character" w:customStyle="1" w:styleId="Ttulo3Char">
    <w:name w:val="Título 3 Char"/>
    <w:basedOn w:val="Fontepargpadro"/>
    <w:link w:val="Ttulo3"/>
    <w:rsid w:val="003F7485"/>
    <w:rPr>
      <w:rFonts w:ascii="Arial" w:hAnsi="Arial" w:cs="Arial"/>
      <w:sz w:val="20"/>
      <w:szCs w:val="24"/>
    </w:rPr>
  </w:style>
  <w:style w:type="character" w:customStyle="1" w:styleId="Ttulo4Char">
    <w:name w:val="Título 4 Char"/>
    <w:basedOn w:val="Fontepargpadro"/>
    <w:link w:val="Ttulo4"/>
    <w:rsid w:val="003F7485"/>
    <w:rPr>
      <w:rFonts w:ascii="Arial" w:hAnsi="Arial" w:cs="Arial"/>
      <w:sz w:val="20"/>
      <w:szCs w:val="24"/>
    </w:rPr>
  </w:style>
  <w:style w:type="paragraph" w:styleId="PargrafodaLista">
    <w:name w:val="List Paragraph"/>
    <w:basedOn w:val="Normal"/>
    <w:qFormat/>
    <w:rsid w:val="003F7485"/>
    <w:pPr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B5C2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5C27"/>
    <w:rPr>
      <w:rFonts w:ascii="Arial" w:hAnsi="Arial" w:cs="Arial"/>
      <w:sz w:val="20"/>
      <w:szCs w:val="24"/>
    </w:rPr>
  </w:style>
  <w:style w:type="paragraph" w:styleId="Rodap">
    <w:name w:val="footer"/>
    <w:basedOn w:val="Normal"/>
    <w:link w:val="RodapChar"/>
    <w:uiPriority w:val="99"/>
    <w:unhideWhenUsed/>
    <w:rsid w:val="002B5C2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5C27"/>
    <w:rPr>
      <w:rFonts w:ascii="Arial" w:hAnsi="Arial" w:cs="Arial"/>
      <w:sz w:val="20"/>
      <w:szCs w:val="24"/>
    </w:rPr>
  </w:style>
  <w:style w:type="paragraph" w:styleId="Corpodetexto">
    <w:name w:val="Body Text"/>
    <w:basedOn w:val="Normal"/>
    <w:link w:val="CorpodetextoChar"/>
    <w:uiPriority w:val="99"/>
    <w:unhideWhenUsed/>
    <w:rsid w:val="006927FE"/>
    <w:pPr>
      <w:suppressAutoHyphens/>
      <w:spacing w:after="120"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uiPriority w:val="99"/>
    <w:rsid w:val="006927F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0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1079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 Brito dos Santos</dc:creator>
  <cp:keywords/>
  <dc:description/>
  <cp:lastModifiedBy>Dalida Saad</cp:lastModifiedBy>
  <cp:revision>9</cp:revision>
  <dcterms:created xsi:type="dcterms:W3CDTF">2020-10-06T20:42:00Z</dcterms:created>
  <dcterms:modified xsi:type="dcterms:W3CDTF">2020-10-23T18:50:00Z</dcterms:modified>
</cp:coreProperties>
</file>