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3D" w:rsidRDefault="005A173D" w:rsidP="005A173D">
      <w:pPr>
        <w:jc w:val="both"/>
        <w:rPr>
          <w:b/>
        </w:rPr>
      </w:pPr>
      <w:bookmarkStart w:id="0" w:name="_GoBack"/>
      <w:bookmarkEnd w:id="0"/>
      <w:r w:rsidRPr="006F005F">
        <w:rPr>
          <w:rFonts w:ascii="Arial" w:hAnsi="Arial" w:cs="Arial"/>
          <w:b/>
          <w:sz w:val="24"/>
          <w:szCs w:val="24"/>
        </w:rPr>
        <w:t>Instalações</w:t>
      </w:r>
      <w:r w:rsidRPr="006F005F">
        <w:rPr>
          <w:b/>
        </w:rPr>
        <w:t xml:space="preserve"> elétricas:</w:t>
      </w:r>
    </w:p>
    <w:p w:rsidR="005A173D" w:rsidRPr="006F005F" w:rsidRDefault="005A173D" w:rsidP="005A173D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As instalações deverão ser executadas com esmero e bom acabamento; os condutores, condutos e equipamentos cuidadosamente dispostos nas respectivas posições e firmemente ligados às estruturas de suporte e aos respectivos pertences, formando um conjunto mecânico e elétrico de boa qualidade.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As partes vivas expostas dos circuitos e do equipamento elétrico serão protegidas contra contatos acidentais, seja por um invólucro protetor, seja pela sua colocação fora do alcance das pessoas não qualificadas.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Somente serão empregados materiais rigorosamente adequados à finalidade em vista e que satisfaçam às normas da ABNT que lhe sejam aplicáveis.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Em lugares úmidos ou normalmente molhados, nos expostos às intempéries e onde os materiais possam sofrer a ação deletéria dos agentes corrosivos de qualquer natureza deverão ser usados materiais destinados a essa finalidade.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Todas as extremidades livres dos tubos serão, antes da concretagem, e durante a construção, convenientemente obturadas, a fim de evitar a penetração de detritos e umidade.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Os condutores serão do tipo anti-chama e serão tão curtos e retilíneos quanto possíveis, sem emendas ou interrupções.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Serão ligadas à terra as partes metálicas das estruturas dos quadros de distribuição e de medição.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Os condutores serão embutidos nas paredes, nos terrenos, nos pisos e nos forros, quando houver e se necessário, e não poderão ser embutidos em elementos estruturais de concreto, podendo, entretanto, quando inevitáveis, serem alojadas em reentrâncias projetadas para essa finalidade específica, nos referidos elementos estruturais.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Quando não houver forro, os condutores serão afixados no teto através de abraçadeiras específicas ou através de “cleats” de plástico ou de porcelana.</w:t>
      </w:r>
    </w:p>
    <w:p w:rsidR="005A173D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Os condutores serão rígidos do tipo ponta e bolsa.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>
        <w:rPr>
          <w:snapToGrid/>
        </w:rPr>
        <w:t>Serão instalados condicionadores de ar do tipo Split com compressor rotativo nas potências de 9.000btus (07 unidades), 12.</w:t>
      </w:r>
      <w:r w:rsidRPr="008F623C">
        <w:rPr>
          <w:snapToGrid/>
        </w:rPr>
        <w:t xml:space="preserve"> </w:t>
      </w:r>
      <w:r>
        <w:rPr>
          <w:snapToGrid/>
        </w:rPr>
        <w:t>000btus (07 unidades), 18.000btus (18 unidades), 24.000btus (03 unidades), 30.000btus (01 unidades), com tubulação em cobre para interligação do condensador ao evaporador, com isolamento, alimentação elétrica, conexões e fixadores.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Serão instalados antes da concretagem dos elementos estruturais.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 xml:space="preserve">As </w:t>
      </w:r>
      <w:r>
        <w:rPr>
          <w:snapToGrid/>
        </w:rPr>
        <w:t xml:space="preserve">caixas e bocas dos eletrodutos </w:t>
      </w:r>
      <w:r w:rsidRPr="00BA5046">
        <w:rPr>
          <w:snapToGrid/>
        </w:rPr>
        <w:t>serão vedadas, para impedir a entrada de argamassa ou nata do concreto.</w:t>
      </w:r>
    </w:p>
    <w:p w:rsidR="005A173D" w:rsidRDefault="005A173D" w:rsidP="005A173D">
      <w:pPr>
        <w:pStyle w:val="Numerador6"/>
        <w:ind w:firstLine="708"/>
        <w:rPr>
          <w:snapToGrid/>
        </w:rPr>
      </w:pPr>
      <w:r w:rsidRPr="00BA5046">
        <w:rPr>
          <w:snapToGrid/>
        </w:rPr>
        <w:t>Todos os quantitativos e qualitativos das tubulações, peças e conexões estão discriminados no orçamento das instalações elétricas.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>
        <w:rPr>
          <w:snapToGrid/>
        </w:rPr>
        <w:t>Será instalado um grupo gerador 8</w:t>
      </w:r>
      <w:r w:rsidRPr="00ED744A">
        <w:rPr>
          <w:snapToGrid/>
        </w:rPr>
        <w:t>6/120 K</w:t>
      </w:r>
      <w:r>
        <w:rPr>
          <w:snapToGrid/>
        </w:rPr>
        <w:t>va</w:t>
      </w:r>
      <w:r w:rsidRPr="00ED744A">
        <w:rPr>
          <w:snapToGrid/>
        </w:rPr>
        <w:t xml:space="preserve">, </w:t>
      </w:r>
      <w:r>
        <w:rPr>
          <w:snapToGrid/>
        </w:rPr>
        <w:t>com quadro automático e um nobreak de 15kva.</w:t>
      </w:r>
    </w:p>
    <w:p w:rsidR="00E20E78" w:rsidRDefault="005A173D" w:rsidP="005A173D">
      <w:r w:rsidRPr="00BA5046">
        <w:t>As instalações elétricas deverão seguir o projeto específico apresentado em anexo.</w:t>
      </w:r>
    </w:p>
    <w:p w:rsidR="005A173D" w:rsidRDefault="005A173D" w:rsidP="005A173D"/>
    <w:p w:rsidR="005A173D" w:rsidRDefault="005A173D" w:rsidP="005A173D"/>
    <w:p w:rsidR="005A173D" w:rsidRDefault="005A173D" w:rsidP="005A173D"/>
    <w:p w:rsidR="005A173D" w:rsidRDefault="005A173D" w:rsidP="005A173D">
      <w:pPr>
        <w:jc w:val="both"/>
        <w:rPr>
          <w:rFonts w:ascii="Arial" w:hAnsi="Arial" w:cs="Arial"/>
          <w:b/>
          <w:sz w:val="24"/>
          <w:szCs w:val="24"/>
        </w:rPr>
      </w:pPr>
      <w:r w:rsidRPr="006F005F">
        <w:rPr>
          <w:rFonts w:ascii="Arial" w:hAnsi="Arial" w:cs="Arial"/>
          <w:b/>
          <w:sz w:val="24"/>
          <w:szCs w:val="24"/>
        </w:rPr>
        <w:lastRenderedPageBreak/>
        <w:t>Instalação de prevenção e combate a incêndio</w:t>
      </w:r>
      <w:r>
        <w:rPr>
          <w:rFonts w:ascii="Arial" w:hAnsi="Arial" w:cs="Arial"/>
          <w:b/>
          <w:sz w:val="24"/>
          <w:szCs w:val="24"/>
        </w:rPr>
        <w:t xml:space="preserve"> e SPDA</w:t>
      </w:r>
      <w:r w:rsidRPr="006F005F">
        <w:rPr>
          <w:rFonts w:ascii="Arial" w:hAnsi="Arial" w:cs="Arial"/>
          <w:b/>
          <w:sz w:val="24"/>
          <w:szCs w:val="24"/>
        </w:rPr>
        <w:t>:</w:t>
      </w:r>
    </w:p>
    <w:p w:rsidR="005A173D" w:rsidRPr="006F005F" w:rsidRDefault="005A173D" w:rsidP="005A173D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5A173D" w:rsidRPr="00BA5046" w:rsidRDefault="005A173D" w:rsidP="005A173D">
      <w:pPr>
        <w:pStyle w:val="Numerador6"/>
        <w:ind w:firstLine="708"/>
      </w:pPr>
      <w:r w:rsidRPr="00BA5046">
        <w:t>A Engenharia de Prevenção contra Incêndios é de suma importância para salvaguardar vidas e bens, prevenindo contra a possibilidade de propagação de fogo e debelá-la caso ocorra.</w:t>
      </w:r>
    </w:p>
    <w:p w:rsidR="005A173D" w:rsidRPr="00BA5046" w:rsidRDefault="005A173D" w:rsidP="005A173D">
      <w:pPr>
        <w:pStyle w:val="Numerador6"/>
        <w:ind w:firstLine="708"/>
      </w:pPr>
      <w:r w:rsidRPr="00BA5046">
        <w:t>Para conseguir esses objetivos é necessário adotar medidas de prevenção de incêndios e de instalações contra incêndio relativamente ao material incendiado.</w:t>
      </w:r>
    </w:p>
    <w:p w:rsidR="005A173D" w:rsidRPr="00BA5046" w:rsidRDefault="005A173D" w:rsidP="005A173D">
      <w:pPr>
        <w:pStyle w:val="Numerador6"/>
        <w:ind w:firstLine="708"/>
      </w:pPr>
      <w:r w:rsidRPr="00BA5046">
        <w:t xml:space="preserve">Considerando o tipo de edificação (pública), serão utilizados extintores do tipo </w:t>
      </w:r>
      <w:r>
        <w:t>Extintor de CO</w:t>
      </w:r>
      <w:r w:rsidRPr="00C51B4D">
        <w:t>2 6kg</w:t>
      </w:r>
      <w:r>
        <w:t xml:space="preserve"> </w:t>
      </w:r>
      <w:r w:rsidRPr="00BA5046">
        <w:t>e portátil de água 10 l, com pintura em acrílico de sinalização de solo e plaqueta de sinalização de saída de emergência,</w:t>
      </w:r>
      <w:r>
        <w:t xml:space="preserve"> luminárias de emergência com 48 leds com bloco automático</w:t>
      </w:r>
      <w:r w:rsidRPr="00BA5046">
        <w:t xml:space="preserve"> conforme projeto arquitetônico.</w:t>
      </w:r>
    </w:p>
    <w:p w:rsidR="005A173D" w:rsidRPr="00BA5046" w:rsidRDefault="005A173D" w:rsidP="005A173D">
      <w:pPr>
        <w:pStyle w:val="Numerador6"/>
        <w:ind w:firstLine="708"/>
      </w:pPr>
      <w:r w:rsidRPr="00BA5046">
        <w:t>Os extintores serão colocados a altura máxima de 1,60 m do piso acabado e deverá constar o selo de garantia da ABNT juntamente com o prazo de validade e lacre sem sinal de violação.</w:t>
      </w:r>
    </w:p>
    <w:p w:rsidR="005A173D" w:rsidRPr="00BA5046" w:rsidRDefault="005A173D" w:rsidP="005A173D">
      <w:pPr>
        <w:pStyle w:val="Numerador6"/>
        <w:ind w:firstLine="708"/>
      </w:pPr>
      <w:r w:rsidRPr="00BA5046">
        <w:t>Na mesma parede, sobre o extintor e com uma altura máxima de 0,30 m entre o extintor e a plaqueta, será afixada uma plaqueta de sinalização vertical indicando a posição do agente extintor abaixo.</w:t>
      </w:r>
    </w:p>
    <w:p w:rsidR="005A173D" w:rsidRDefault="005A173D" w:rsidP="005A173D"/>
    <w:p w:rsidR="005A173D" w:rsidRDefault="005A173D" w:rsidP="005A173D"/>
    <w:p w:rsidR="005A173D" w:rsidRDefault="005A173D" w:rsidP="005A173D">
      <w:pPr>
        <w:jc w:val="both"/>
        <w:rPr>
          <w:rFonts w:ascii="Arial" w:hAnsi="Arial" w:cs="Arial"/>
          <w:b/>
          <w:sz w:val="24"/>
          <w:szCs w:val="24"/>
        </w:rPr>
      </w:pPr>
      <w:r w:rsidRPr="000E6B9C">
        <w:rPr>
          <w:rFonts w:ascii="Arial" w:hAnsi="Arial" w:cs="Arial"/>
          <w:b/>
          <w:sz w:val="24"/>
          <w:szCs w:val="24"/>
        </w:rPr>
        <w:t>Instalação de lógica</w:t>
      </w:r>
      <w:r>
        <w:rPr>
          <w:rFonts w:ascii="Arial" w:hAnsi="Arial" w:cs="Arial"/>
          <w:b/>
          <w:sz w:val="24"/>
          <w:szCs w:val="24"/>
        </w:rPr>
        <w:t xml:space="preserve"> e som</w:t>
      </w:r>
      <w:r w:rsidRPr="000E6B9C">
        <w:rPr>
          <w:rFonts w:ascii="Arial" w:hAnsi="Arial" w:cs="Arial"/>
          <w:b/>
          <w:sz w:val="24"/>
          <w:szCs w:val="24"/>
        </w:rPr>
        <w:t>:</w:t>
      </w:r>
    </w:p>
    <w:p w:rsidR="005A173D" w:rsidRDefault="005A173D" w:rsidP="005A173D">
      <w:pPr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5A173D" w:rsidRDefault="005A173D" w:rsidP="005A173D">
      <w:pPr>
        <w:pStyle w:val="Corpodetexto21"/>
        <w:ind w:firstLine="567"/>
        <w:rPr>
          <w:b w:val="0"/>
          <w:sz w:val="24"/>
          <w:szCs w:val="24"/>
        </w:rPr>
      </w:pPr>
      <w:r w:rsidRPr="000E6B9C">
        <w:rPr>
          <w:b w:val="0"/>
          <w:sz w:val="24"/>
          <w:szCs w:val="24"/>
        </w:rPr>
        <w:t xml:space="preserve">As instalações deverão ser executadas com esmero e bom acabamento; os </w:t>
      </w:r>
      <w:r>
        <w:rPr>
          <w:b w:val="0"/>
          <w:sz w:val="24"/>
          <w:szCs w:val="24"/>
        </w:rPr>
        <w:t>eletrodutos, curvas para eletroduto, cabo telefônicos</w:t>
      </w:r>
      <w:r w:rsidRPr="000E6B9C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cabo lógico e eq</w:t>
      </w:r>
      <w:r w:rsidRPr="000E6B9C">
        <w:rPr>
          <w:b w:val="0"/>
          <w:sz w:val="24"/>
          <w:szCs w:val="24"/>
        </w:rPr>
        <w:t>uipamentos</w:t>
      </w:r>
      <w:r>
        <w:rPr>
          <w:b w:val="0"/>
          <w:sz w:val="24"/>
          <w:szCs w:val="24"/>
        </w:rPr>
        <w:t xml:space="preserve"> (rack fechado piso 19"X 24U X 700mm, central telefônica, central de som com 02 canais, módulo amplificador e eletrocalha metálica) </w:t>
      </w:r>
      <w:r w:rsidRPr="000E6B9C">
        <w:rPr>
          <w:b w:val="0"/>
          <w:sz w:val="24"/>
          <w:szCs w:val="24"/>
        </w:rPr>
        <w:t>cuidadosamente dispostos nas respectivas posições e firmemente ligados às estruturas de suporte e aos respectivos pertences, formando um conjunto mecânico de boa qualidade</w:t>
      </w:r>
      <w:r>
        <w:rPr>
          <w:b w:val="0"/>
          <w:sz w:val="24"/>
          <w:szCs w:val="24"/>
        </w:rPr>
        <w:t xml:space="preserve">. </w:t>
      </w:r>
    </w:p>
    <w:p w:rsidR="005A173D" w:rsidRPr="00BA5046" w:rsidRDefault="005A173D" w:rsidP="005A173D">
      <w:pPr>
        <w:pStyle w:val="Numerador6"/>
        <w:ind w:firstLine="708"/>
        <w:rPr>
          <w:snapToGrid/>
        </w:rPr>
      </w:pPr>
      <w:r>
        <w:rPr>
          <w:snapToGrid/>
        </w:rPr>
        <w:t>As instalações de lógica</w:t>
      </w:r>
      <w:r w:rsidRPr="00BA5046">
        <w:rPr>
          <w:snapToGrid/>
        </w:rPr>
        <w:t xml:space="preserve"> deverão seguir o projeto específico apresentado em anexo.</w:t>
      </w:r>
    </w:p>
    <w:p w:rsidR="005A173D" w:rsidRDefault="005A173D" w:rsidP="005A173D">
      <w:pPr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5A173D" w:rsidRDefault="005A173D" w:rsidP="005A173D"/>
    <w:sectPr w:rsidR="005A17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3D"/>
    <w:rsid w:val="005A173D"/>
    <w:rsid w:val="00E2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E678A-75EC-4F24-AF44-CDB71FAE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73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A1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umerador6">
    <w:name w:val="Numerador 6"/>
    <w:basedOn w:val="Ttulo6"/>
    <w:autoRedefine/>
    <w:rsid w:val="005A173D"/>
    <w:pPr>
      <w:keepNext w:val="0"/>
      <w:keepLines w:val="0"/>
      <w:widowControl/>
      <w:suppressAutoHyphens w:val="0"/>
      <w:autoSpaceDE/>
      <w:spacing w:before="0"/>
      <w:jc w:val="both"/>
      <w:outlineLvl w:val="9"/>
    </w:pPr>
    <w:rPr>
      <w:rFonts w:ascii="Arial" w:eastAsia="Times New Roman" w:hAnsi="Arial" w:cs="Times New Roman"/>
      <w:snapToGrid w:val="0"/>
      <w:color w:val="auto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A173D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ar-SA"/>
    </w:rPr>
  </w:style>
  <w:style w:type="paragraph" w:customStyle="1" w:styleId="Corpodetexto21">
    <w:name w:val="Corpo de texto 21"/>
    <w:basedOn w:val="Normal"/>
    <w:rsid w:val="005A173D"/>
    <w:pPr>
      <w:widowControl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Hércules Lima de Medeiros</dc:creator>
  <cp:keywords/>
  <dc:description/>
  <cp:lastModifiedBy>Hércules Lima de Medeiros</cp:lastModifiedBy>
  <cp:revision>1</cp:revision>
  <dcterms:created xsi:type="dcterms:W3CDTF">2016-05-25T13:11:00Z</dcterms:created>
  <dcterms:modified xsi:type="dcterms:W3CDTF">2016-05-25T13:13:00Z</dcterms:modified>
</cp:coreProperties>
</file>