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header1.xml" ContentType="application/vnd.openxmlformats-officedocument.wordprocessingml.header+xml"/>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b/>
          <w:b/>
          <w:bCs/>
        </w:rPr>
      </w:pPr>
      <w:r>
        <w:rPr>
          <w:rFonts w:ascii="Times New Roman" w:hAnsi="Times New Roman"/>
          <w:b/>
          <w:bCs/>
          <w:sz w:val="24"/>
          <w:szCs w:val="24"/>
        </w:rPr>
        <w:t>TERMO DE REFERÊNCIA</w:t>
      </w:r>
    </w:p>
    <w:p>
      <w:pPr>
        <w:pStyle w:val="Normal"/>
        <w:jc w:val="center"/>
        <w:rPr>
          <w:rFonts w:ascii="Times New Roman" w:hAnsi="Times New Roman"/>
          <w:color w:val="0070C0"/>
          <w:sz w:val="24"/>
          <w:szCs w:val="24"/>
        </w:rPr>
      </w:pPr>
      <w:r>
        <w:rPr>
          <w:rFonts w:ascii="Times New Roman" w:hAnsi="Times New Roman"/>
          <w:color w:val="0070C0"/>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t xml:space="preserve">MENOR PREÇO </w:t>
      </w:r>
    </w:p>
    <w:p>
      <w:pPr>
        <w:pStyle w:val="Normal"/>
        <w:jc w:val="center"/>
        <w:rPr>
          <w:rFonts w:ascii="Times New Roman" w:hAnsi="Times New Roman"/>
          <w:b/>
          <w:b/>
          <w:bCs/>
          <w:color w:val="FF0000"/>
          <w:sz w:val="24"/>
          <w:szCs w:val="24"/>
        </w:rPr>
      </w:pPr>
      <w:r>
        <w:rPr>
          <w:rFonts w:ascii="Times New Roman" w:hAnsi="Times New Roman"/>
          <w:b/>
          <w:bCs/>
          <w:color w:val="FF0000"/>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rPr>
      </w:pPr>
      <w:r>
        <w:rPr>
          <w:rFonts w:ascii="Times New Roman" w:hAnsi="Times New Roman"/>
          <w:sz w:val="24"/>
          <w:szCs w:val="24"/>
        </w:rPr>
        <w:t xml:space="preserve">A presente licitação tem por objeto a </w:t>
      </w:r>
      <w:r>
        <w:rPr>
          <w:rFonts w:ascii="Times New Roman" w:hAnsi="Times New Roman"/>
          <w:sz w:val="24"/>
          <w:szCs w:val="24"/>
          <w:shd w:fill="FFFFFF" w:val="clear"/>
        </w:rPr>
        <w:t xml:space="preserve">Contratação de empresa especializada na prestação, de forma contínua, dos serviços limpeza, conservação, higienização e copeiragem em regime de dedicação exclusiva de mão de obra, materiais e equipamentos necessários, a serem executados </w:t>
      </w:r>
      <w:r>
        <w:rPr>
          <w:rFonts w:eastAsia="Arial Unicode MS" w:ascii="Times New Roman" w:hAnsi="Times New Roman"/>
          <w:sz w:val="24"/>
          <w:szCs w:val="24"/>
        </w:rPr>
        <w:t xml:space="preserve">nas dependências da 7ªSuperintendência Regional da CODEVASF em Teresina-PI, e nos Escritórios de Apoio Técnico de Parnaíba e Oeiras, estado do Piauí, </w:t>
      </w:r>
      <w:r>
        <w:rPr>
          <w:rFonts w:eastAsia="Arial Unicode MS" w:ascii="Times New Roman" w:hAnsi="Times New Roman"/>
          <w:sz w:val="24"/>
          <w:szCs w:val="24"/>
          <w:shd w:fill="FFFFFF" w:val="clear"/>
        </w:rPr>
        <w:t>doravante denominada CODEVASF, situada na avenida Maranhão nº1022, Centro</w:t>
      </w:r>
      <w:r>
        <w:rPr>
          <w:rFonts w:eastAsia="Arial Unicode MS" w:ascii="Times New Roman" w:hAnsi="Times New Roman"/>
          <w:sz w:val="24"/>
          <w:szCs w:val="24"/>
        </w:rPr>
        <w:t>, Teresina-PI.</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Cabealho"/>
        <w:rPr>
          <w:rFonts w:ascii="Times New Roman" w:hAnsi="Times New Roman"/>
          <w:sz w:val="24"/>
          <w:szCs w:val="24"/>
          <w:lang w:eastAsia="en-US"/>
        </w:rPr>
      </w:pPr>
      <w:r>
        <w:rPr>
          <w:rFonts w:ascii="Times New Roman" w:hAnsi="Times New Roman"/>
          <w:sz w:val="24"/>
          <w:szCs w:val="24"/>
          <w:lang w:eastAsia="en-US"/>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jc w:val="center"/>
        <w:rPr/>
      </w:pPr>
      <w:r>
        <w:rPr>
          <w:rFonts w:ascii="Times New Roman" w:hAnsi="Times New Roman"/>
          <w:b/>
          <w:bCs/>
          <w:sz w:val="24"/>
          <w:szCs w:val="24"/>
        </w:rPr>
        <w:t>Abril/2019</w:t>
      </w:r>
      <w:r>
        <w:br w:type="page"/>
      </w:r>
    </w:p>
    <w:p>
      <w:pPr>
        <w:pStyle w:val="Normal"/>
        <w:spacing w:lineRule="auto" w:line="480"/>
        <w:jc w:val="center"/>
        <w:rPr>
          <w:rFonts w:ascii="Times New Roman" w:hAnsi="Times New Roman"/>
          <w:sz w:val="24"/>
          <w:szCs w:val="24"/>
        </w:rPr>
      </w:pPr>
      <w:r>
        <w:rPr>
          <w:rFonts w:ascii="Times New Roman" w:hAnsi="Times New Roman"/>
          <w:sz w:val="24"/>
          <w:szCs w:val="24"/>
        </w:rPr>
        <w:t>ÍNDICE</w:t>
      </w:r>
    </w:p>
    <w:p>
      <w:pPr>
        <w:pStyle w:val="Normal"/>
        <w:spacing w:lineRule="auto" w:line="360"/>
        <w:jc w:val="center"/>
        <w:rPr/>
      </w:pPr>
      <w:r>
        <w:rPr/>
      </w:r>
    </w:p>
    <w:p>
      <w:pPr>
        <w:pStyle w:val="Sumrio1"/>
        <w:spacing w:lineRule="auto" w:line="360"/>
        <w:rPr>
          <w:sz w:val="20"/>
          <w:szCs w:val="20"/>
        </w:rPr>
      </w:pPr>
      <w:r>
        <w:rPr>
          <w:sz w:val="20"/>
          <w:szCs w:val="20"/>
        </w:rPr>
        <w:t xml:space="preserve">1. </w:t>
      </w:r>
      <w:r>
        <w:rPr>
          <w:rFonts w:eastAsia="PalatinoLinotype"/>
          <w:sz w:val="20"/>
          <w:szCs w:val="20"/>
        </w:rPr>
        <w:t>DO OBJETO……………………………………………………………………….………………...3</w:t>
      </w:r>
    </w:p>
    <w:p>
      <w:pPr>
        <w:pStyle w:val="Normal"/>
        <w:spacing w:lineRule="auto" w:line="360"/>
        <w:rPr>
          <w:sz w:val="20"/>
          <w:szCs w:val="20"/>
        </w:rPr>
      </w:pPr>
      <w:r>
        <w:rPr>
          <w:rFonts w:eastAsia="PalatinoLinotype" w:ascii="Times New Roman" w:hAnsi="Times New Roman"/>
          <w:sz w:val="20"/>
          <w:szCs w:val="20"/>
        </w:rPr>
        <w:t>2.AVALIAÇÃO DO CUSTO………………………………………………………….………………..3</w:t>
      </w:r>
    </w:p>
    <w:p>
      <w:pPr>
        <w:pStyle w:val="Normal"/>
        <w:widowControl/>
        <w:bidi w:val="0"/>
        <w:spacing w:lineRule="auto" w:line="360"/>
        <w:ind w:left="0" w:right="0" w:hanging="0"/>
        <w:jc w:val="both"/>
        <w:rPr>
          <w:sz w:val="20"/>
          <w:szCs w:val="20"/>
        </w:rPr>
      </w:pPr>
      <w:r>
        <w:rPr>
          <w:rFonts w:eastAsia="PalatinoLinotype" w:ascii="Times New Roman" w:hAnsi="Times New Roman"/>
          <w:sz w:val="20"/>
          <w:szCs w:val="20"/>
        </w:rPr>
        <w:t>3.QUADRO DE PESSOAL E QUANTITATIVO……………………………………..…………….....3</w:t>
      </w:r>
    </w:p>
    <w:p>
      <w:pPr>
        <w:pStyle w:val="Normal"/>
        <w:spacing w:lineRule="auto" w:line="360"/>
        <w:rPr>
          <w:sz w:val="20"/>
          <w:szCs w:val="20"/>
        </w:rPr>
      </w:pPr>
      <w:r>
        <w:rPr>
          <w:rFonts w:eastAsia="PalatinoLinotype" w:ascii="Times New Roman" w:hAnsi="Times New Roman"/>
          <w:sz w:val="20"/>
          <w:szCs w:val="20"/>
        </w:rPr>
        <w:t>4.JUSTIFICATIVA E OBJETIVO DA CONTRATAÇÃO………………………….………...……….4</w:t>
      </w:r>
    </w:p>
    <w:p>
      <w:pPr>
        <w:pStyle w:val="Normal"/>
        <w:spacing w:lineRule="auto" w:line="360"/>
        <w:rPr>
          <w:sz w:val="20"/>
          <w:szCs w:val="20"/>
        </w:rPr>
      </w:pPr>
      <w:r>
        <w:rPr>
          <w:rFonts w:eastAsia="PalatinoLinotype" w:ascii="Times New Roman" w:hAnsi="Times New Roman"/>
          <w:sz w:val="20"/>
          <w:szCs w:val="20"/>
        </w:rPr>
        <w:t>5.DA CLASSIFICAÇÃO DOS SERVIÇOS………………………………………….……………..….5</w:t>
      </w:r>
    </w:p>
    <w:p>
      <w:pPr>
        <w:pStyle w:val="Normal"/>
        <w:spacing w:lineRule="auto" w:line="360"/>
        <w:rPr>
          <w:sz w:val="20"/>
          <w:szCs w:val="20"/>
        </w:rPr>
      </w:pPr>
      <w:r>
        <w:rPr>
          <w:rFonts w:eastAsia="PalatinoLinotype" w:ascii="Times New Roman" w:hAnsi="Times New Roman"/>
          <w:sz w:val="20"/>
          <w:szCs w:val="20"/>
        </w:rPr>
        <w:t>6.FORMA DE PRESTAÇÃO DOS SERVIÇOS……………………………………….………...…….5</w:t>
      </w:r>
    </w:p>
    <w:p>
      <w:pPr>
        <w:pStyle w:val="Normal"/>
        <w:spacing w:lineRule="auto" w:line="360"/>
        <w:rPr>
          <w:sz w:val="20"/>
          <w:szCs w:val="20"/>
        </w:rPr>
      </w:pPr>
      <w:r>
        <w:rPr>
          <w:rFonts w:eastAsia="PalatinoLinotype" w:ascii="Times New Roman" w:hAnsi="Times New Roman"/>
          <w:sz w:val="20"/>
          <w:szCs w:val="20"/>
        </w:rPr>
        <w:t>7.</w:t>
      </w:r>
      <w:r>
        <w:rPr>
          <w:rFonts w:eastAsia="PalatinoLinotype" w:ascii="Times New Roman" w:hAnsi="Times New Roman"/>
          <w:sz w:val="24"/>
          <w:szCs w:val="24"/>
        </w:rPr>
        <w:t xml:space="preserve"> </w:t>
      </w:r>
      <w:r>
        <w:rPr>
          <w:rFonts w:eastAsia="PalatinoLinotype" w:ascii="Times New Roman" w:hAnsi="Times New Roman"/>
          <w:sz w:val="20"/>
          <w:szCs w:val="20"/>
        </w:rPr>
        <w:t>QUALIFICAÇÃO TÉCNICA ………………………………………………………………...…...12</w:t>
      </w:r>
    </w:p>
    <w:p>
      <w:pPr>
        <w:pStyle w:val="Normal"/>
        <w:spacing w:lineRule="auto" w:line="360"/>
        <w:rPr>
          <w:sz w:val="20"/>
          <w:szCs w:val="20"/>
        </w:rPr>
      </w:pPr>
      <w:r>
        <w:rPr>
          <w:rFonts w:eastAsia="PalatinoLinotype" w:ascii="Times New Roman" w:hAnsi="Times New Roman"/>
          <w:sz w:val="20"/>
          <w:szCs w:val="20"/>
        </w:rPr>
        <w:t>8.</w:t>
      </w:r>
      <w:r>
        <w:rPr>
          <w:rFonts w:eastAsia="PalatinoLinotype" w:ascii="Times New Roman" w:hAnsi="Times New Roman"/>
          <w:color w:val="000000" w:themeColor="text1"/>
          <w:sz w:val="20"/>
          <w:szCs w:val="20"/>
        </w:rPr>
        <w:t>INFORMAÇÕES RELEVANTES PARA O DIMENSIONAMENTO DA PROPOSTA………….12</w:t>
      </w:r>
    </w:p>
    <w:p>
      <w:pPr>
        <w:pStyle w:val="Normal"/>
        <w:spacing w:lineRule="auto" w:line="360"/>
        <w:rPr>
          <w:sz w:val="20"/>
          <w:szCs w:val="20"/>
        </w:rPr>
      </w:pPr>
      <w:r>
        <w:rPr>
          <w:rFonts w:eastAsia="PalatinoLinotype" w:ascii="Times New Roman" w:hAnsi="Times New Roman"/>
          <w:color w:val="000000" w:themeColor="text1"/>
          <w:sz w:val="20"/>
          <w:szCs w:val="20"/>
        </w:rPr>
        <w:t xml:space="preserve">9. </w:t>
      </w:r>
      <w:r>
        <w:rPr>
          <w:rFonts w:eastAsia="PalatinoLinotype" w:ascii="Times New Roman" w:hAnsi="Times New Roman"/>
          <w:color w:val="00000A"/>
          <w:sz w:val="20"/>
          <w:szCs w:val="20"/>
        </w:rPr>
        <w:t>METODOLOGIA DE AVALIAÇÃO DA EXECUÇÃO DOS SERVIÇOS………………….…...14</w:t>
      </w:r>
    </w:p>
    <w:p>
      <w:pPr>
        <w:pStyle w:val="Normal"/>
        <w:spacing w:lineRule="auto" w:line="360"/>
        <w:rPr>
          <w:sz w:val="20"/>
          <w:szCs w:val="20"/>
        </w:rPr>
      </w:pPr>
      <w:r>
        <w:rPr>
          <w:rFonts w:eastAsia="PalatinoLinotype" w:ascii="Times New Roman" w:hAnsi="Times New Roman"/>
          <w:color w:val="000000" w:themeColor="text1"/>
          <w:sz w:val="20"/>
          <w:szCs w:val="20"/>
        </w:rPr>
        <w:t>10.REQUISITOS DA CONTRATAÇÃO……………………………………………………………..18</w:t>
      </w:r>
    </w:p>
    <w:p>
      <w:pPr>
        <w:pStyle w:val="Normal"/>
        <w:spacing w:lineRule="auto" w:line="360"/>
        <w:rPr>
          <w:sz w:val="20"/>
          <w:szCs w:val="20"/>
        </w:rPr>
      </w:pPr>
      <w:r>
        <w:rPr>
          <w:rFonts w:eastAsia="PalatinoLinotype" w:ascii="Times New Roman" w:hAnsi="Times New Roman"/>
          <w:color w:val="000000" w:themeColor="text1"/>
          <w:sz w:val="20"/>
          <w:szCs w:val="20"/>
        </w:rPr>
        <w:t>11.MODELO DE GESTÃO DO CONTRATO E CRITÉRIOS DE MEDIÇÃO E PAGAMENTO….19</w:t>
      </w:r>
    </w:p>
    <w:p>
      <w:pPr>
        <w:pStyle w:val="Normal"/>
        <w:spacing w:lineRule="auto" w:line="360"/>
        <w:rPr>
          <w:sz w:val="20"/>
          <w:szCs w:val="20"/>
        </w:rPr>
      </w:pPr>
      <w:r>
        <w:rPr>
          <w:rFonts w:eastAsia="PalatinoLinotype" w:ascii="Times New Roman" w:hAnsi="Times New Roman"/>
          <w:color w:val="000000" w:themeColor="text1"/>
          <w:sz w:val="20"/>
          <w:szCs w:val="20"/>
        </w:rPr>
        <w:t>12.UNIFORMES………………………………………………………………………………………19</w:t>
      </w:r>
    </w:p>
    <w:p>
      <w:pPr>
        <w:pStyle w:val="Normal"/>
        <w:spacing w:lineRule="auto" w:line="360"/>
        <w:rPr>
          <w:sz w:val="20"/>
          <w:szCs w:val="20"/>
        </w:rPr>
      </w:pPr>
      <w:r>
        <w:rPr>
          <w:rFonts w:eastAsia="PalatinoLinotype" w:ascii="Times New Roman" w:hAnsi="Times New Roman"/>
          <w:color w:val="000000" w:themeColor="text1"/>
          <w:sz w:val="20"/>
          <w:szCs w:val="20"/>
        </w:rPr>
        <w:t>13.</w:t>
      </w:r>
      <w:r>
        <w:rPr>
          <w:rFonts w:eastAsia="PalatinoLinotype" w:ascii="Times New Roman" w:hAnsi="Times New Roman"/>
          <w:b w:val="false"/>
          <w:bCs w:val="false"/>
          <w:color w:val="000000" w:themeColor="text1"/>
          <w:sz w:val="20"/>
          <w:szCs w:val="20"/>
        </w:rPr>
        <w:t>MATERIAIS A SEREM DISPONIBILIZADOS………………………………………………….21</w:t>
      </w:r>
    </w:p>
    <w:p>
      <w:pPr>
        <w:pStyle w:val="Normal"/>
        <w:spacing w:lineRule="auto" w:line="360"/>
        <w:rPr>
          <w:sz w:val="20"/>
          <w:szCs w:val="20"/>
        </w:rPr>
      </w:pPr>
      <w:r>
        <w:rPr>
          <w:rFonts w:eastAsia="PalatinoLinotype" w:ascii="Times New Roman" w:hAnsi="Times New Roman"/>
          <w:color w:val="000000" w:themeColor="text1"/>
          <w:sz w:val="20"/>
          <w:szCs w:val="20"/>
        </w:rPr>
        <w:t>14.INÍCIO DA EXECUÇÃO DOS SERVIÇOS………………………………………………………23</w:t>
      </w:r>
    </w:p>
    <w:p>
      <w:pPr>
        <w:pStyle w:val="Normal"/>
        <w:spacing w:lineRule="auto" w:line="360"/>
        <w:rPr>
          <w:sz w:val="20"/>
          <w:szCs w:val="20"/>
        </w:rPr>
      </w:pPr>
      <w:r>
        <w:rPr>
          <w:rFonts w:eastAsia="PalatinoLinotype" w:ascii="Times New Roman" w:hAnsi="Times New Roman"/>
          <w:color w:val="000000" w:themeColor="text1"/>
          <w:sz w:val="20"/>
          <w:szCs w:val="20"/>
        </w:rPr>
        <w:t>15.DA VISTORIA……………………………………………………………………………………..23</w:t>
      </w:r>
    </w:p>
    <w:p>
      <w:pPr>
        <w:pStyle w:val="Sumrio1"/>
        <w:spacing w:lineRule="auto" w:line="360"/>
        <w:rPr>
          <w:sz w:val="20"/>
          <w:szCs w:val="20"/>
        </w:rPr>
      </w:pPr>
      <w:r>
        <w:rPr>
          <w:sz w:val="20"/>
          <w:szCs w:val="20"/>
        </w:rPr>
        <w:t>16. OBRIGAÇÕES DA CONTRATANTE ..........................................................................................24</w:t>
      </w:r>
    </w:p>
    <w:p>
      <w:pPr>
        <w:pStyle w:val="Sumrio1"/>
        <w:spacing w:lineRule="auto" w:line="360"/>
        <w:rPr>
          <w:sz w:val="20"/>
          <w:szCs w:val="20"/>
        </w:rPr>
      </w:pPr>
      <w:r>
        <w:rPr>
          <w:sz w:val="20"/>
          <w:szCs w:val="20"/>
        </w:rPr>
        <w:t>17. OBRIGAÇÕES DA CONTRATADA.............................................................................................25</w:t>
      </w:r>
    </w:p>
    <w:p>
      <w:pPr>
        <w:pStyle w:val="Sumrio1"/>
        <w:spacing w:lineRule="auto" w:line="360"/>
        <w:rPr>
          <w:rFonts w:ascii="Times New Roman" w:hAnsi="Times New Roman"/>
          <w:sz w:val="20"/>
          <w:szCs w:val="20"/>
        </w:rPr>
      </w:pPr>
      <w:r>
        <w:rPr>
          <w:sz w:val="20"/>
          <w:szCs w:val="20"/>
        </w:rPr>
        <w:t xml:space="preserve">18. DA SUBCONTRATAÇÃO......................................................................................................…...30 </w:t>
      </w:r>
    </w:p>
    <w:p>
      <w:pPr>
        <w:pStyle w:val="Sumrio1"/>
        <w:spacing w:lineRule="auto" w:line="360"/>
        <w:rPr>
          <w:rFonts w:ascii="Times New Roman" w:hAnsi="Times New Roman"/>
          <w:sz w:val="20"/>
          <w:szCs w:val="20"/>
        </w:rPr>
      </w:pPr>
      <w:r>
        <w:rPr>
          <w:sz w:val="20"/>
          <w:szCs w:val="20"/>
        </w:rPr>
        <w:t>19. ALTERAÇÃO SUBJETIVA...........................................................................................................30</w:t>
      </w:r>
    </w:p>
    <w:p>
      <w:pPr>
        <w:pStyle w:val="Sumrio1"/>
        <w:spacing w:lineRule="auto" w:line="360"/>
        <w:rPr>
          <w:sz w:val="20"/>
          <w:szCs w:val="20"/>
        </w:rPr>
      </w:pPr>
      <w:r>
        <w:rPr>
          <w:sz w:val="20"/>
          <w:szCs w:val="20"/>
        </w:rPr>
        <w:t>20. O CONTROLE E FISCALIZAÇÃO DA EXECUÇÃO .................................................................31</w:t>
      </w:r>
    </w:p>
    <w:p>
      <w:pPr>
        <w:pStyle w:val="Sumrio1"/>
        <w:spacing w:lineRule="auto" w:line="360"/>
        <w:rPr>
          <w:rFonts w:ascii="Times New Roman" w:hAnsi="Times New Roman"/>
          <w:sz w:val="20"/>
          <w:szCs w:val="20"/>
        </w:rPr>
      </w:pPr>
      <w:r>
        <w:rPr>
          <w:sz w:val="20"/>
          <w:szCs w:val="20"/>
        </w:rPr>
        <w:t>21. DO RECEBIMENTO E ACEITAÇÃO DO OBJETO....................................................................37</w:t>
      </w:r>
    </w:p>
    <w:p>
      <w:pPr>
        <w:pStyle w:val="Sumrio1"/>
        <w:spacing w:lineRule="auto" w:line="360"/>
        <w:rPr>
          <w:rFonts w:ascii="Times New Roman" w:hAnsi="Times New Roman"/>
          <w:sz w:val="20"/>
          <w:szCs w:val="20"/>
        </w:rPr>
      </w:pPr>
      <w:r>
        <w:rPr>
          <w:sz w:val="20"/>
          <w:szCs w:val="20"/>
        </w:rPr>
        <w:t xml:space="preserve">22. DAS SANÇÕES ADMINISTRATIVAS........................................................................................38  </w:t>
      </w:r>
    </w:p>
    <w:p>
      <w:pPr>
        <w:pStyle w:val="Sumrio1"/>
        <w:spacing w:lineRule="auto" w:line="360"/>
        <w:rPr>
          <w:sz w:val="20"/>
          <w:szCs w:val="20"/>
        </w:rPr>
      </w:pPr>
      <w:r>
        <w:rPr>
          <w:sz w:val="20"/>
          <w:szCs w:val="20"/>
        </w:rPr>
        <w:t xml:space="preserve">23. AÇÕES DE RESPONSABILIDADE AMBIENTAL.....................................................................47  </w:t>
      </w:r>
    </w:p>
    <w:p>
      <w:pPr>
        <w:pStyle w:val="Sumrio1"/>
        <w:spacing w:lineRule="auto" w:line="360"/>
        <w:rPr>
          <w:rFonts w:ascii="Times New Roman" w:hAnsi="Times New Roman"/>
          <w:sz w:val="20"/>
          <w:szCs w:val="20"/>
        </w:rPr>
      </w:pPr>
      <w:r>
        <w:rPr>
          <w:sz w:val="20"/>
          <w:szCs w:val="20"/>
        </w:rPr>
        <w:t xml:space="preserve">24. SEGURANÇA DO TRABALHO...................................................................................................48  </w:t>
      </w:r>
    </w:p>
    <w:p>
      <w:pPr>
        <w:pStyle w:val="Sumrio1"/>
        <w:spacing w:lineRule="auto" w:line="360"/>
        <w:rPr>
          <w:sz w:val="20"/>
          <w:szCs w:val="20"/>
        </w:rPr>
      </w:pPr>
      <w:r>
        <w:rPr>
          <w:sz w:val="20"/>
          <w:szCs w:val="20"/>
        </w:rPr>
        <w:t xml:space="preserve">25. ANEXOS.........................................................................................................................................49  </w:t>
      </w:r>
    </w:p>
    <w:p>
      <w:pPr>
        <w:pStyle w:val="Sumrio1"/>
        <w:rPr>
          <w:rFonts w:ascii="Times New Roman" w:hAnsi="Times New Roman"/>
          <w:sz w:val="20"/>
          <w:szCs w:val="20"/>
        </w:rPr>
      </w:pPr>
      <w:r>
        <w:rPr>
          <w:sz w:val="20"/>
          <w:szCs w:val="20"/>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ListParagraph"/>
        <w:numPr>
          <w:ilvl w:val="0"/>
          <w:numId w:val="2"/>
        </w:numPr>
        <w:rPr>
          <w:rFonts w:eastAsia="PalatinoLinotype"/>
          <w:sz w:val="23"/>
          <w:szCs w:val="23"/>
        </w:rPr>
      </w:pPr>
      <w:r>
        <w:rPr>
          <w:rFonts w:eastAsia="PalatinoLinotype" w:ascii="Times New Roman" w:hAnsi="Times New Roman"/>
          <w:sz w:val="24"/>
          <w:szCs w:val="24"/>
        </w:rPr>
        <w:t>DO OBJETO</w:t>
      </w:r>
    </w:p>
    <w:p>
      <w:pPr>
        <w:pStyle w:val="ListParagraph"/>
        <w:rPr>
          <w:rFonts w:ascii="Times New Roman" w:hAnsi="Times New Roman" w:eastAsia="PalatinoLinotype"/>
          <w:sz w:val="24"/>
          <w:szCs w:val="24"/>
        </w:rPr>
      </w:pPr>
      <w:r>
        <w:rPr>
          <w:rFonts w:eastAsia="PalatinoLinotype" w:ascii="Times New Roman" w:hAnsi="Times New Roman"/>
          <w:sz w:val="24"/>
          <w:szCs w:val="24"/>
        </w:rPr>
      </w:r>
    </w:p>
    <w:p>
      <w:pPr>
        <w:pStyle w:val="ListParagraph"/>
        <w:widowControl/>
        <w:numPr>
          <w:ilvl w:val="1"/>
          <w:numId w:val="1"/>
        </w:numPr>
        <w:bidi w:val="0"/>
        <w:spacing w:lineRule="auto" w:line="360"/>
        <w:jc w:val="both"/>
        <w:rPr>
          <w:rFonts w:ascii="Times New Roman" w:hAnsi="Times New Roman"/>
          <w:sz w:val="24"/>
          <w:szCs w:val="24"/>
        </w:rPr>
      </w:pPr>
      <w:r>
        <w:rPr>
          <w:rFonts w:eastAsia="Arial Unicode MS" w:ascii="Times New Roman" w:hAnsi="Times New Roman"/>
          <w:sz w:val="24"/>
          <w:szCs w:val="24"/>
          <w:shd w:fill="FFFFFF" w:val="clear"/>
        </w:rPr>
        <w:t xml:space="preserve">Contratação de empresa especializada na prestação, de forma contínua, dos serviços limpeza, conservação, higienização e copeiragem, em regime de dedicação exclusiva de mão de obra, materiais e equipamentos necessários, a serem executados nas dependências da 7ª Superintendência Regional da Companhia de Desenvolvimento dos Vales São Francisco e Parnaíba, doravante denominada CODEVASF, </w:t>
      </w:r>
      <w:r>
        <w:rPr>
          <w:rFonts w:eastAsia="Arial" w:cs="Times New Roman" w:ascii="Times New Roman" w:hAnsi="Times New Roman"/>
          <w:sz w:val="24"/>
          <w:szCs w:val="24"/>
          <w:shd w:fill="FFFFFF" w:val="clear"/>
        </w:rPr>
        <w:t>e nos escritórios de apoio da 7ª Superintendência Regional da CODEVASF, conforme descrito na Tabela a seguir:</w:t>
      </w:r>
    </w:p>
    <w:p>
      <w:pPr>
        <w:pStyle w:val="ListParagraph"/>
        <w:widowControl/>
        <w:bidi w:val="0"/>
        <w:jc w:val="both"/>
        <w:rPr>
          <w:rFonts w:eastAsia="Arial" w:cs="Times New Roman"/>
          <w:highlight w:val="white"/>
        </w:rPr>
      </w:pPr>
      <w:r>
        <w:rPr>
          <w:rFonts w:eastAsia="Arial" w:cs="Times New Roman"/>
          <w:highlight w:val="white"/>
        </w:rPr>
      </w:r>
    </w:p>
    <w:p>
      <w:pPr>
        <w:pStyle w:val="ListParagraph"/>
        <w:widowControl/>
        <w:bidi w:val="0"/>
        <w:ind w:left="720" w:hanging="0"/>
        <w:jc w:val="both"/>
        <w:rPr>
          <w:rFonts w:ascii="Times New Roman" w:hAnsi="Times New Roman"/>
          <w:sz w:val="24"/>
          <w:szCs w:val="24"/>
          <w:highlight w:val="lightGray"/>
        </w:rPr>
      </w:pPr>
      <w:r>
        <w:rPr>
          <w:rFonts w:eastAsia="Arial" w:cs="Times New Roman" w:ascii="Times New Roman" w:hAnsi="Times New Roman"/>
          <w:sz w:val="24"/>
          <w:szCs w:val="24"/>
        </w:rPr>
        <w:t xml:space="preserve">     </w:t>
      </w:r>
      <w:r>
        <w:rPr>
          <w:rFonts w:eastAsia="Arial" w:cs="Times New Roman" w:ascii="Times New Roman" w:hAnsi="Times New Roman"/>
          <w:sz w:val="24"/>
          <w:szCs w:val="24"/>
        </w:rPr>
        <w:t>Tabela 1 – Descrição dos serviços:</w:t>
      </w:r>
    </w:p>
    <w:p>
      <w:pPr>
        <w:pStyle w:val="Normal"/>
        <w:rPr>
          <w:rFonts w:ascii="Times New Roman" w:hAnsi="Times New Roman"/>
          <w:sz w:val="24"/>
          <w:szCs w:val="24"/>
        </w:rPr>
      </w:pPr>
      <w:r>
        <w:rPr>
          <w:rFonts w:ascii="Times New Roman" w:hAnsi="Times New Roman"/>
          <w:sz w:val="24"/>
          <w:szCs w:val="24"/>
        </w:rPr>
      </w:r>
    </w:p>
    <w:tbl>
      <w:tblPr>
        <w:tblW w:w="850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851"/>
        <w:gridCol w:w="3714"/>
        <w:gridCol w:w="1843"/>
        <w:gridCol w:w="2096"/>
      </w:tblGrid>
      <w:tr>
        <w:trPr>
          <w:trHeight w:val="431"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Item</w:t>
            </w:r>
          </w:p>
        </w:tc>
        <w:tc>
          <w:tcPr>
            <w:tcW w:w="37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Descrição/Especificação</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Valor Mensal</w:t>
            </w:r>
          </w:p>
        </w:tc>
        <w:tc>
          <w:tcPr>
            <w:tcW w:w="20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pPr>
            <w:r>
              <w:rPr>
                <w:rFonts w:ascii="Times New Roman" w:hAnsi="Times New Roman"/>
                <w:b w:val="false"/>
                <w:bCs w:val="false"/>
                <w:i w:val="false"/>
                <w:iCs w:val="false"/>
                <w:color w:val="00000A"/>
                <w:sz w:val="24"/>
                <w:szCs w:val="24"/>
              </w:rPr>
              <w:t>Valor 12 Meses</w:t>
            </w:r>
          </w:p>
        </w:tc>
      </w:tr>
      <w:tr>
        <w:trPr>
          <w:trHeight w:val="2284"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t>1</w:t>
            </w:r>
          </w:p>
        </w:tc>
        <w:tc>
          <w:tcPr>
            <w:tcW w:w="37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rPr>
                <w:rFonts w:ascii="Times New Roman" w:hAnsi="Times New Roman"/>
                <w:sz w:val="24"/>
                <w:szCs w:val="24"/>
              </w:rPr>
            </w:pPr>
            <w:r>
              <w:rPr>
                <w:rFonts w:ascii="Times New Roman" w:hAnsi="Times New Roman"/>
                <w:sz w:val="24"/>
                <w:szCs w:val="24"/>
              </w:rPr>
              <w:t xml:space="preserve">Contratação </w:t>
            </w:r>
            <w:r>
              <w:rPr>
                <w:rFonts w:ascii="Times New Roman" w:hAnsi="Times New Roman"/>
                <w:sz w:val="24"/>
                <w:szCs w:val="24"/>
                <w:shd w:fill="FFFFFF" w:val="clear"/>
              </w:rPr>
              <w:t>serviços limpeza, conservação, higienização e copeiragem em regime de dedicação exclusiva de mão de obra, materiais e equipamentos</w:t>
            </w:r>
            <w:r>
              <w:rPr>
                <w:rFonts w:ascii="Times New Roman" w:hAnsi="Times New Roman"/>
                <w:sz w:val="24"/>
                <w:szCs w:val="24"/>
              </w:rPr>
              <w:t xml:space="preserve"> para a Companhia de Desenvolvimento dos Vales do São Francisco e do Parnaíba.</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rPr>
                <w:rFonts w:ascii="Times New Roman" w:hAnsi="Times New Roman"/>
                <w:sz w:val="24"/>
                <w:szCs w:val="24"/>
              </w:rPr>
            </w:pPr>
            <w:r>
              <w:rPr>
                <w:rFonts w:ascii="Times New Roman" w:hAnsi="Times New Roman"/>
                <w:sz w:val="24"/>
                <w:szCs w:val="24"/>
              </w:rPr>
            </w:r>
          </w:p>
          <w:p>
            <w:pPr>
              <w:pStyle w:val="ListParagraph"/>
              <w:widowControl w:val="false"/>
              <w:suppressAutoHyphens w:val="true"/>
              <w:spacing w:lineRule="auto" w:line="360" w:before="0" w:after="120"/>
              <w:ind w:hanging="0"/>
              <w:rPr/>
            </w:pPr>
            <w:r>
              <w:rPr>
                <w:rFonts w:ascii="Times New Roman" w:hAnsi="Times New Roman"/>
                <w:color w:val="00000A"/>
                <w:sz w:val="24"/>
                <w:szCs w:val="24"/>
                <w:shd w:fill="FFFFFF" w:val="clear"/>
              </w:rPr>
              <w:t>R$ 35.233,28</w:t>
            </w:r>
          </w:p>
        </w:tc>
        <w:tc>
          <w:tcPr>
            <w:tcW w:w="20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rPr/>
            </w:pPr>
            <w:r>
              <w:rPr>
                <w:rFonts w:ascii="Times New Roman" w:hAnsi="Times New Roman"/>
                <w:sz w:val="24"/>
                <w:szCs w:val="24"/>
              </w:rPr>
              <w:t xml:space="preserve">R$ </w:t>
            </w:r>
            <w:r>
              <w:rPr>
                <w:rFonts w:ascii="Times New Roman" w:hAnsi="Times New Roman"/>
                <w:color w:val="00000A"/>
                <w:sz w:val="24"/>
                <w:szCs w:val="24"/>
              </w:rPr>
              <w:t xml:space="preserve"> 422.799,44</w:t>
            </w:r>
          </w:p>
        </w:tc>
      </w:tr>
    </w:tbl>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ab/>
        <w:t>Tabela 2 – Local da prestação de serviços:</w:t>
      </w:r>
    </w:p>
    <w:p>
      <w:pPr>
        <w:pStyle w:val="Normal"/>
        <w:rPr>
          <w:rFonts w:ascii="Times New Roman" w:hAnsi="Times New Roman"/>
          <w:sz w:val="24"/>
          <w:szCs w:val="24"/>
        </w:rPr>
      </w:pPr>
      <w:r>
        <w:rPr>
          <w:rFonts w:ascii="Times New Roman" w:hAnsi="Times New Roman"/>
          <w:sz w:val="24"/>
          <w:szCs w:val="24"/>
        </w:rPr>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2097"/>
        <w:gridCol w:w="6165"/>
      </w:tblGrid>
      <w:tr>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Local</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Endereço</w:t>
            </w:r>
          </w:p>
        </w:tc>
      </w:tr>
      <w:tr>
        <w:trPr>
          <w:trHeight w:val="731" w:hRule="atLeast"/>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7ªSR</w:t>
            </w:r>
          </w:p>
          <w:p>
            <w:pPr>
              <w:pStyle w:val="Contedodetabela"/>
              <w:snapToGrid w:val="false"/>
              <w:rPr>
                <w:rFonts w:ascii="Times New Roman" w:hAnsi="Times New Roman"/>
                <w:sz w:val="24"/>
                <w:szCs w:val="24"/>
              </w:rPr>
            </w:pPr>
            <w:r>
              <w:rPr>
                <w:rFonts w:cs="Times New Roman"/>
                <w:sz w:val="24"/>
                <w:szCs w:val="24"/>
              </w:rPr>
              <w:t>(limpeza e copeira)</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Avenida Maranhão nº 1022, Centro – Teresina-PI</w:t>
            </w:r>
          </w:p>
        </w:tc>
      </w:tr>
      <w:tr>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sz w:val="24"/>
                <w:szCs w:val="24"/>
              </w:rPr>
              <w:t>7ªEOE (limpeza)</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Rua André Holanda n° 368/A – Centro. Oeiras/PI.</w:t>
            </w:r>
          </w:p>
          <w:p>
            <w:pPr>
              <w:pStyle w:val="Contedodetabela"/>
              <w:snapToGrid w:val="false"/>
              <w:rPr>
                <w:rFonts w:ascii="Times New Roman" w:hAnsi="Times New Roman" w:cs="Times New Roman"/>
                <w:sz w:val="24"/>
                <w:szCs w:val="24"/>
              </w:rPr>
            </w:pPr>
            <w:r>
              <w:rPr>
                <w:rFonts w:cs="Times New Roman"/>
                <w:sz w:val="24"/>
                <w:szCs w:val="24"/>
              </w:rPr>
            </w:r>
          </w:p>
        </w:tc>
      </w:tr>
      <w:tr>
        <w:trPr>
          <w:trHeight w:val="812" w:hRule="atLeast"/>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sz w:val="24"/>
                <w:szCs w:val="24"/>
              </w:rPr>
              <w:t>7ªEPA (limpeza)</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Rua Tabajara nº 1557, bairro Nossa Senhora de Fátima. Parnaíba-PI. CEP:64.202-210</w:t>
            </w:r>
          </w:p>
        </w:tc>
      </w:tr>
    </w:tbl>
    <w:p>
      <w:pPr>
        <w:pStyle w:val="Normal"/>
        <w:rPr>
          <w:rFonts w:ascii="Times New Roman" w:hAnsi="Times New Roman"/>
          <w:sz w:val="24"/>
          <w:szCs w:val="24"/>
        </w:rPr>
      </w:pPr>
      <w:r>
        <w:rPr>
          <w:rFonts w:ascii="Times New Roman" w:hAnsi="Times New Roman"/>
          <w:sz w:val="24"/>
          <w:szCs w:val="24"/>
        </w:rPr>
      </w:r>
    </w:p>
    <w:p>
      <w:pPr>
        <w:pStyle w:val="ListParagraph"/>
        <w:ind w:left="360" w:hanging="0"/>
        <w:rPr>
          <w:rFonts w:ascii="Times New Roman" w:hAnsi="Times New Roman"/>
          <w:sz w:val="24"/>
          <w:szCs w:val="24"/>
        </w:rPr>
      </w:pPr>
      <w:r>
        <w:rPr>
          <w:rFonts w:ascii="Times New Roman" w:hAnsi="Times New Roman"/>
          <w:sz w:val="24"/>
          <w:szCs w:val="24"/>
        </w:rPr>
        <w:t xml:space="preserve"> </w:t>
      </w:r>
    </w:p>
    <w:p>
      <w:pPr>
        <w:pStyle w:val="ListParagraph"/>
        <w:numPr>
          <w:ilvl w:val="1"/>
          <w:numId w:val="1"/>
        </w:numPr>
        <w:tabs>
          <w:tab w:val="left" w:pos="0" w:leader="none"/>
          <w:tab w:val="left" w:pos="1134" w:leader="none"/>
        </w:tabs>
        <w:spacing w:lineRule="auto" w:line="360"/>
        <w:rPr/>
      </w:pPr>
      <w:r>
        <w:rPr>
          <w:rFonts w:ascii="Times New Roman" w:hAnsi="Times New Roman"/>
          <w:sz w:val="24"/>
          <w:szCs w:val="24"/>
        </w:rPr>
        <w:t>Os recursos orçamentários correrão à conta do Programa de Trabalho 04.122.2111.2000.0001</w:t>
      </w:r>
      <w:r>
        <w:rPr>
          <w:rFonts w:ascii="Times New Roman" w:hAnsi="Times New Roman"/>
          <w:b/>
          <w:bCs/>
          <w:sz w:val="24"/>
          <w:szCs w:val="24"/>
        </w:rPr>
        <w:t xml:space="preserve"> </w:t>
      </w:r>
      <w:r>
        <w:rPr>
          <w:rFonts w:ascii="Times New Roman" w:hAnsi="Times New Roman"/>
          <w:sz w:val="24"/>
          <w:szCs w:val="24"/>
        </w:rPr>
        <w:t>– ADMINISTRAÇÃO DA UNIDADE NACIONAL, Categoria Econômica 3, sob a gestão da Área de Gestão Administrativa e Suporte Logístico da CODEVASF – AA.</w:t>
      </w:r>
    </w:p>
    <w:p>
      <w:pPr>
        <w:pStyle w:val="ListParagraph"/>
        <w:spacing w:lineRule="auto" w:line="360"/>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rPr/>
      </w:pPr>
      <w:r>
        <w:rPr>
          <w:rFonts w:eastAsia="PalatinoLinotype" w:ascii="Times New Roman" w:hAnsi="Times New Roman"/>
          <w:sz w:val="24"/>
          <w:szCs w:val="24"/>
        </w:rPr>
        <w:t>AVALIAÇÃO DO CUSTO:</w:t>
      </w:r>
    </w:p>
    <w:p>
      <w:pPr>
        <w:pStyle w:val="ListParagraph"/>
        <w:numPr>
          <w:ilvl w:val="0"/>
          <w:numId w:val="0"/>
        </w:numPr>
        <w:spacing w:lineRule="auto" w:line="360"/>
        <w:ind w:left="720" w:hanging="0"/>
        <w:rPr/>
      </w:pPr>
      <w:r>
        <w:rPr>
          <w:rFonts w:eastAsia="PalatinoLinotype" w:ascii="Times New Roman" w:hAnsi="Times New Roman"/>
          <w:color w:val="00000A"/>
          <w:sz w:val="24"/>
          <w:szCs w:val="24"/>
          <w:shd w:fill="FFFFFF" w:val="clear"/>
        </w:rPr>
        <w:t>2.1.</w:t>
        <w:tab/>
      </w:r>
      <w:r>
        <w:rPr>
          <w:rFonts w:ascii="Times New Roman" w:hAnsi="Times New Roman"/>
          <w:color w:val="00000A"/>
          <w:sz w:val="24"/>
          <w:szCs w:val="24"/>
          <w:shd w:fill="FFFFFF" w:val="clear"/>
        </w:rPr>
        <w:t xml:space="preserve">O valor máximo mensal da contratação é de </w:t>
      </w:r>
      <w:bookmarkStart w:id="0" w:name="__DdeLink__4833_1015877851"/>
      <w:r>
        <w:rPr>
          <w:rFonts w:ascii="Times New Roman" w:hAnsi="Times New Roman"/>
          <w:color w:val="00000A"/>
          <w:sz w:val="24"/>
          <w:szCs w:val="24"/>
          <w:shd w:fill="FFFFFF" w:val="clear"/>
        </w:rPr>
        <w:t>R$ 35.233,28</w:t>
      </w:r>
      <w:bookmarkEnd w:id="0"/>
      <w:r>
        <w:rPr>
          <w:rFonts w:ascii="Times New Roman" w:hAnsi="Times New Roman"/>
          <w:color w:val="00000A"/>
          <w:sz w:val="24"/>
          <w:szCs w:val="24"/>
          <w:shd w:fill="FFFFFF" w:val="clear"/>
        </w:rPr>
        <w:t xml:space="preserve"> (trinta e cinco mil, duzentos e trinta e três reais e vinte e oito centavos), e o valor máximo global é de R$ </w:t>
      </w:r>
      <w:r>
        <w:rPr>
          <w:rFonts w:ascii="Times New Roman" w:hAnsi="Times New Roman"/>
          <w:color w:val="00000A"/>
          <w:sz w:val="24"/>
          <w:szCs w:val="24"/>
        </w:rPr>
        <w:t>422.799,44</w:t>
      </w:r>
      <w:r>
        <w:rPr>
          <w:rFonts w:ascii="Times New Roman" w:hAnsi="Times New Roman"/>
          <w:color w:val="00000A"/>
          <w:sz w:val="24"/>
          <w:szCs w:val="24"/>
          <w:shd w:fill="FFFFFF" w:val="clear"/>
        </w:rPr>
        <w:t xml:space="preserve"> (quatrocentos e vinte e dois mil, setecentos e noventa e nove reais e quarenta e quatro centavos), foi apurado com base na Convenção Coletiva de Trabalho da categoria e painel de preços do portal de compras do Governo Federal.</w:t>
      </w:r>
      <w:r>
        <w:rPr>
          <w:rFonts w:ascii="Times New Roman" w:hAnsi="Times New Roman"/>
          <w:color w:val="ED1C24"/>
          <w:sz w:val="24"/>
          <w:szCs w:val="24"/>
          <w:shd w:fill="FFFFFF" w:val="clear"/>
        </w:rPr>
        <w:t xml:space="preserve"> </w:t>
      </w:r>
    </w:p>
    <w:p>
      <w:pPr>
        <w:pStyle w:val="ListParagraph"/>
        <w:numPr>
          <w:ilvl w:val="0"/>
          <w:numId w:val="0"/>
        </w:numPr>
        <w:spacing w:lineRule="auto" w:line="360"/>
        <w:ind w:left="720" w:hanging="0"/>
        <w:rPr/>
      </w:pPr>
      <w:r>
        <w:rPr>
          <w:rFonts w:ascii="Times New Roman" w:hAnsi="Times New Roman"/>
          <w:sz w:val="24"/>
          <w:szCs w:val="24"/>
        </w:rPr>
        <w:t>2.2.</w:t>
        <w:tab/>
      </w:r>
      <w:r>
        <w:rPr>
          <w:rFonts w:ascii="Times New Roman" w:hAnsi="Times New Roman"/>
        </w:rPr>
        <w:t>Para estimativa do valor da contratação, foram considerados os limites da Portaria n.º 213, de 25 de setembro de 2017, da Secretaria de Logística e Tecnologia da Informação do Ministério do Planejamento, Orçamento e Gestão – MPOG</w:t>
      </w:r>
      <w:r>
        <w:rPr/>
        <w:t>.</w:t>
      </w:r>
    </w:p>
    <w:p>
      <w:pPr>
        <w:pStyle w:val="ListParagraph"/>
        <w:numPr>
          <w:ilvl w:val="0"/>
          <w:numId w:val="1"/>
        </w:numPr>
        <w:spacing w:lineRule="auto" w:line="360"/>
        <w:rPr/>
      </w:pPr>
      <w:r>
        <w:rPr>
          <w:rFonts w:eastAsia="PalatinoLinotype" w:ascii="Times New Roman" w:hAnsi="Times New Roman"/>
          <w:sz w:val="24"/>
          <w:szCs w:val="24"/>
        </w:rPr>
        <w:t>QUADRO DE PESSOAL E QUANTITATIVO</w:t>
      </w:r>
    </w:p>
    <w:p>
      <w:pPr>
        <w:pStyle w:val="Normal"/>
        <w:spacing w:lineRule="auto" w:line="360"/>
        <w:ind w:hanging="142"/>
        <w:rPr/>
      </w:pPr>
      <w:r>
        <w:rPr>
          <w:rFonts w:ascii="Times New Roman" w:hAnsi="Times New Roman"/>
          <w:sz w:val="24"/>
          <w:szCs w:val="24"/>
        </w:rPr>
        <w:t xml:space="preserve">  </w:t>
      </w:r>
      <w:r>
        <w:rPr>
          <w:rFonts w:ascii="Times New Roman" w:hAnsi="Times New Roman"/>
          <w:sz w:val="24"/>
          <w:szCs w:val="24"/>
        </w:rPr>
        <w:t>3.1</w:t>
        <w:tab/>
        <w:t>O quantitativo de funcionários necessários à execução dos serviços está descrito abaixo, sendo:</w:t>
      </w:r>
    </w:p>
    <w:p>
      <w:pPr>
        <w:pStyle w:val="ListParagraph"/>
        <w:widowControl/>
        <w:numPr>
          <w:ilvl w:val="0"/>
          <w:numId w:val="6"/>
        </w:numPr>
        <w:tabs>
          <w:tab w:val="left" w:pos="709" w:leader="none"/>
          <w:tab w:val="left" w:pos="147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0" w:right="0" w:firstLine="794"/>
        <w:jc w:val="both"/>
        <w:rPr/>
      </w:pPr>
      <w:r>
        <w:rPr>
          <w:rFonts w:ascii="Times New Roman" w:hAnsi="Times New Roman"/>
          <w:b w:val="false"/>
          <w:bCs w:val="false"/>
          <w:sz w:val="24"/>
          <w:szCs w:val="24"/>
        </w:rPr>
        <w:t>01 (uma) copeira (exclusiva para sede da 7ª Superintendência);</w:t>
      </w:r>
    </w:p>
    <w:p>
      <w:pPr>
        <w:pStyle w:val="ListParagraph"/>
        <w:widowControl/>
        <w:numPr>
          <w:ilvl w:val="0"/>
          <w:numId w:val="6"/>
        </w:numPr>
        <w:tabs>
          <w:tab w:val="left" w:pos="709" w:leader="none"/>
          <w:tab w:val="left" w:pos="153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0" w:right="0" w:firstLine="794"/>
        <w:jc w:val="both"/>
        <w:rPr/>
      </w:pPr>
      <w:r>
        <w:rPr>
          <w:rFonts w:ascii="Times New Roman" w:hAnsi="Times New Roman"/>
          <w:b w:val="false"/>
          <w:bCs w:val="false"/>
          <w:sz w:val="24"/>
          <w:szCs w:val="24"/>
        </w:rPr>
        <w:t>10 (dez) serventes de limpeza:</w:t>
      </w:r>
    </w:p>
    <w:p>
      <w:pPr>
        <w:pStyle w:val="ListParagraph"/>
        <w:widowControl/>
        <w:numPr>
          <w:ilvl w:val="0"/>
          <w:numId w:val="7"/>
        </w:numPr>
        <w:tabs>
          <w:tab w:val="left" w:pos="709" w:leader="none"/>
          <w:tab w:val="left" w:pos="1530" w:leader="none"/>
          <w:tab w:val="left" w:pos="2385" w:leader="none"/>
          <w:tab w:val="left" w:pos="4608" w:leader="none"/>
          <w:tab w:val="left" w:pos="5103" w:leader="none"/>
          <w:tab w:val="left" w:pos="6048" w:leader="none"/>
          <w:tab w:val="left" w:pos="6379" w:leader="none"/>
          <w:tab w:val="left" w:pos="6768" w:leader="none"/>
        </w:tabs>
        <w:bidi w:val="0"/>
        <w:spacing w:lineRule="auto" w:line="276"/>
        <w:ind w:left="737" w:right="0" w:firstLine="794"/>
        <w:jc w:val="both"/>
        <w:rPr/>
      </w:pPr>
      <w:r>
        <w:rPr>
          <w:rFonts w:ascii="Times New Roman" w:hAnsi="Times New Roman"/>
          <w:b w:val="false"/>
          <w:bCs w:val="false"/>
          <w:sz w:val="24"/>
          <w:szCs w:val="24"/>
        </w:rPr>
        <w:t>08 (oito) para a sede em Teresina;</w:t>
      </w:r>
    </w:p>
    <w:p>
      <w:pPr>
        <w:pStyle w:val="ListParagraph"/>
        <w:widowControl/>
        <w:numPr>
          <w:ilvl w:val="0"/>
          <w:numId w:val="7"/>
        </w:numPr>
        <w:tabs>
          <w:tab w:val="left" w:pos="1590" w:leader="none"/>
          <w:tab w:val="left" w:pos="2385"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737" w:right="0" w:firstLine="794"/>
        <w:jc w:val="both"/>
        <w:rPr/>
      </w:pPr>
      <w:r>
        <w:rPr>
          <w:rFonts w:ascii="Times New Roman" w:hAnsi="Times New Roman"/>
          <w:b w:val="false"/>
          <w:bCs w:val="false"/>
          <w:sz w:val="24"/>
          <w:szCs w:val="24"/>
        </w:rPr>
        <w:t>01 (um) para o Escritório de Apoio Técnico em Oeiras;</w:t>
      </w:r>
    </w:p>
    <w:p>
      <w:pPr>
        <w:pStyle w:val="ListParagraph"/>
        <w:widowControl/>
        <w:numPr>
          <w:ilvl w:val="0"/>
          <w:numId w:val="7"/>
        </w:numPr>
        <w:tabs>
          <w:tab w:val="left" w:pos="709" w:leader="none"/>
          <w:tab w:val="left" w:pos="1590" w:leader="none"/>
          <w:tab w:val="left" w:pos="2385"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737" w:right="0" w:firstLine="794"/>
        <w:jc w:val="both"/>
        <w:rPr/>
      </w:pPr>
      <w:r>
        <w:rPr>
          <w:rFonts w:ascii="Times New Roman" w:hAnsi="Times New Roman"/>
          <w:b w:val="false"/>
          <w:bCs w:val="false"/>
          <w:sz w:val="24"/>
          <w:szCs w:val="24"/>
        </w:rPr>
        <w:t>01 (um) para o Escritório de Apoio Técnico em Paranaíba.</w:t>
      </w:r>
    </w:p>
    <w:p>
      <w:pPr>
        <w:pStyle w:val="ListParagraph"/>
        <w:tabs>
          <w:tab w:val="left" w:pos="0" w:leader="none"/>
          <w:tab w:val="left" w:pos="709" w:leader="none"/>
          <w:tab w:val="left" w:pos="2448" w:leader="none"/>
          <w:tab w:val="left" w:pos="3168" w:leader="none"/>
          <w:tab w:val="left" w:pos="3888" w:leader="none"/>
          <w:tab w:val="left" w:pos="4608" w:leader="none"/>
          <w:tab w:val="left" w:pos="5103" w:leader="none"/>
          <w:tab w:val="left" w:pos="6048" w:leader="none"/>
          <w:tab w:val="left" w:pos="6379" w:leader="none"/>
          <w:tab w:val="left" w:pos="6768" w:leader="none"/>
        </w:tabs>
        <w:ind w:left="1996" w:hanging="0"/>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 w:val="left" w:pos="709" w:leader="none"/>
          <w:tab w:val="left" w:pos="2448" w:leader="none"/>
          <w:tab w:val="left" w:pos="3168" w:leader="none"/>
          <w:tab w:val="left" w:pos="3888" w:leader="none"/>
          <w:tab w:val="left" w:pos="4608" w:leader="none"/>
          <w:tab w:val="left" w:pos="5103" w:leader="none"/>
          <w:tab w:val="left" w:pos="6048" w:leader="none"/>
          <w:tab w:val="left" w:pos="6379" w:leader="none"/>
          <w:tab w:val="left" w:pos="6768" w:leader="none"/>
        </w:tabs>
        <w:spacing w:lineRule="auto" w:line="360"/>
        <w:rPr>
          <w:rFonts w:ascii="Times New Roman" w:hAnsi="Times New Roman"/>
          <w:color w:val="ED1C24"/>
          <w:sz w:val="24"/>
          <w:szCs w:val="24"/>
        </w:rPr>
      </w:pPr>
      <w:r>
        <w:rPr>
          <w:rFonts w:ascii="Times New Roman" w:hAnsi="Times New Roman"/>
          <w:color w:val="00000A"/>
          <w:sz w:val="24"/>
          <w:szCs w:val="24"/>
        </w:rPr>
        <w:t>3.2</w:t>
        <w:tab/>
        <w:t>A Contratante poderá, também, solicitar a alocação temporária ou por demanda de mão de obra por posto/hora para atuarem, caso necessário, ao bom andamento dos serviços no âmbito da CODEVASF. Para este serviço deverá se utilizar dos mesmos valores dos salários normativos constantes da convenção coletiva de trabalho em que a empresa seja filiada.</w:t>
      </w:r>
    </w:p>
    <w:p>
      <w:pPr>
        <w:pStyle w:val="Normal"/>
        <w:tabs>
          <w:tab w:val="left" w:pos="0" w:leader="none"/>
          <w:tab w:val="left" w:pos="3024" w:leader="none"/>
          <w:tab w:val="left" w:pos="3168" w:leader="none"/>
          <w:tab w:val="left" w:pos="3888" w:leader="none"/>
          <w:tab w:val="left" w:pos="4608" w:leader="none"/>
          <w:tab w:val="left" w:pos="5328" w:leader="none"/>
          <w:tab w:val="left" w:pos="6048" w:leader="none"/>
          <w:tab w:val="left" w:pos="6768" w:leader="none"/>
        </w:tabs>
        <w:spacing w:lineRule="auto" w:line="360"/>
        <w:rPr/>
      </w:pPr>
      <w:r>
        <w:rPr>
          <w:rFonts w:ascii="Times New Roman" w:hAnsi="Times New Roman"/>
          <w:color w:val="00000A"/>
          <w:sz w:val="24"/>
          <w:szCs w:val="24"/>
        </w:rPr>
        <w:t>3.3. Se for o caso, o pessoal e/ou os serviços objeto deste Edital poderão ser aumentados ou suprimidos, até o limite de 25% (vinte e cinco por cento) de acordo com as necessidades e conveniências da CODEVASF.</w:t>
      </w:r>
    </w:p>
    <w:p>
      <w:pPr>
        <w:pStyle w:val="Normal"/>
        <w:tabs>
          <w:tab w:val="left" w:pos="0" w:leader="none"/>
          <w:tab w:val="left" w:pos="3024" w:leader="none"/>
          <w:tab w:val="left" w:pos="3168" w:leader="none"/>
          <w:tab w:val="left" w:pos="3888" w:leader="none"/>
          <w:tab w:val="left" w:pos="4608" w:leader="none"/>
          <w:tab w:val="left" w:pos="5328" w:leader="none"/>
          <w:tab w:val="left" w:pos="6048" w:leader="none"/>
          <w:tab w:val="left" w:pos="6768" w:leader="none"/>
        </w:tabs>
        <w:spacing w:lineRule="auto" w:line="360"/>
        <w:rPr>
          <w:rFonts w:ascii="Times New Roman" w:hAnsi="Times New Roman"/>
          <w:color w:val="ED1C24"/>
          <w:sz w:val="24"/>
          <w:szCs w:val="24"/>
        </w:rPr>
      </w:pPr>
      <w:r>
        <w:rPr>
          <w:rFonts w:ascii="Times New Roman" w:hAnsi="Times New Roman"/>
          <w:color w:val="ED1C24"/>
          <w:sz w:val="24"/>
          <w:szCs w:val="24"/>
        </w:rPr>
      </w:r>
    </w:p>
    <w:p>
      <w:pPr>
        <w:pStyle w:val="ListParagraph"/>
        <w:numPr>
          <w:ilvl w:val="0"/>
          <w:numId w:val="1"/>
        </w:numPr>
        <w:spacing w:lineRule="auto" w:line="360"/>
        <w:rPr/>
      </w:pPr>
      <w:r>
        <w:rPr>
          <w:rFonts w:eastAsia="PalatinoLinotype" w:ascii="Times New Roman" w:hAnsi="Times New Roman"/>
          <w:sz w:val="24"/>
          <w:szCs w:val="24"/>
        </w:rPr>
        <w:t>JUSTIFICATIVA E OBJETIVO DA CONTRATAÇÃO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4.1.</w:t>
        <w:tab/>
        <w:t>A contratação dos serviços de limpeza e conservação de forma contínua dentro dos parâmetros e rotinas estabelecidos, com fornecimento de mão de obra e respectivos insumos e ainda com observância às recomendações aceitas pela boa técnica, pelas normas e pelas legislações aplicáveis, tem por objetivo a manutenção das condições necessárias para que os servidores desempenhem suas funções neste Órgão em um ambiente mantido em bom estado de conservação, asseio e higiene.</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4.2.</w:t>
        <w:tab/>
        <w:t>Considerando que se trata de serviço essencial e sua interrupção pode comprometer a saúde de pessoas e a higienização das instalações físicas da unidade, implicando em sérios transtornos e comprometendo o funcionamento regular das unidades, torna-se imprescindível à contratação de empresa para a execução dos serviços.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color w:val="00000A"/>
          <w:sz w:val="24"/>
          <w:szCs w:val="24"/>
        </w:rPr>
        <w:t>4.3.</w:t>
        <w:tab/>
        <w:t>A deflagração de novo processo licitatório se dá em razão da contratação em andamento ter como prazo final improrrogável o dia 30 de maio de 2019.</w:t>
      </w:r>
    </w:p>
    <w:p>
      <w:pPr>
        <w:pStyle w:val="ListParagraph"/>
        <w:widowControl/>
        <w:numPr>
          <w:ilvl w:val="0"/>
          <w:numId w:val="0"/>
        </w:numPr>
        <w:bidi w:val="0"/>
        <w:spacing w:lineRule="auto" w:line="360"/>
        <w:ind w:left="0" w:right="0" w:hanging="0"/>
        <w:jc w:val="both"/>
        <w:rPr>
          <w:rFonts w:ascii="Times New Roman" w:hAnsi="Times New Roman" w:eastAsia="PalatinoLinotype"/>
          <w:color w:val="00000A"/>
          <w:sz w:val="24"/>
          <w:szCs w:val="24"/>
        </w:rPr>
      </w:pPr>
      <w:r>
        <w:rPr>
          <w:rFonts w:eastAsia="PalatinoLinotype" w:ascii="Times New Roman" w:hAnsi="Times New Roman"/>
          <w:color w:val="00000A"/>
          <w:sz w:val="24"/>
          <w:szCs w:val="24"/>
        </w:rPr>
      </w:r>
    </w:p>
    <w:p>
      <w:pPr>
        <w:pStyle w:val="ListParagraph"/>
        <w:numPr>
          <w:ilvl w:val="0"/>
          <w:numId w:val="1"/>
        </w:numPr>
        <w:spacing w:lineRule="auto" w:line="360"/>
        <w:rPr/>
      </w:pPr>
      <w:r>
        <w:rPr>
          <w:rFonts w:eastAsia="PalatinoLinotype" w:ascii="Times New Roman" w:hAnsi="Times New Roman"/>
          <w:sz w:val="24"/>
          <w:szCs w:val="24"/>
        </w:rPr>
        <w:t>DA CLASSIFICAÇÃO DOS SERVIÇOS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5.1.</w:t>
        <w:tab/>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5.2.</w:t>
        <w:tab/>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5.3.</w:t>
        <w:tab/>
        <w:t>A prestação dos serviços não gera vínculo empregatício entre os empregados da Contratada e a Administração Contratante, vedando-se qualquer relação entre estes que caracterize pessoalidade e subordinação direta.</w:t>
      </w:r>
    </w:p>
    <w:p>
      <w:pPr>
        <w:pStyle w:val="ListParagraph"/>
        <w:widowControl/>
        <w:numPr>
          <w:ilvl w:val="0"/>
          <w:numId w:val="0"/>
        </w:numPr>
        <w:bidi w:val="0"/>
        <w:spacing w:lineRule="auto" w:line="360"/>
        <w:ind w:left="0" w:right="0" w:hanging="0"/>
        <w:jc w:val="both"/>
        <w:rPr>
          <w:rFonts w:ascii="Times New Roman" w:hAnsi="Times New Roman" w:eastAsia="PalatinoLinotype"/>
          <w:sz w:val="24"/>
          <w:szCs w:val="24"/>
        </w:rPr>
      </w:pPr>
      <w:r>
        <w:rPr>
          <w:rFonts w:eastAsia="PalatinoLinotype" w:ascii="Times New Roman" w:hAnsi="Times New Roman"/>
          <w:sz w:val="24"/>
          <w:szCs w:val="24"/>
        </w:rPr>
      </w:r>
    </w:p>
    <w:p>
      <w:pPr>
        <w:pStyle w:val="ListParagraph"/>
        <w:numPr>
          <w:ilvl w:val="0"/>
          <w:numId w:val="1"/>
        </w:numPr>
        <w:spacing w:lineRule="auto" w:line="360"/>
        <w:rPr/>
      </w:pPr>
      <w:r>
        <w:rPr>
          <w:rFonts w:eastAsia="PalatinoLinotype" w:ascii="Times New Roman" w:hAnsi="Times New Roman"/>
          <w:sz w:val="24"/>
          <w:szCs w:val="24"/>
        </w:rPr>
        <w:t>FORMA DE PRESTAÇÃO DOS SERVIÇOS.</w:t>
      </w:r>
    </w:p>
    <w:p>
      <w:pPr>
        <w:pStyle w:val="ListParagraph"/>
        <w:numPr>
          <w:ilvl w:val="0"/>
          <w:numId w:val="0"/>
        </w:numPr>
        <w:spacing w:lineRule="auto" w:line="360"/>
        <w:ind w:left="360" w:hanging="0"/>
        <w:rPr/>
      </w:pPr>
      <w:r>
        <w:rPr>
          <w:rFonts w:eastAsia="PalatinoLinotype" w:ascii="Times New Roman" w:hAnsi="Times New Roman"/>
          <w:sz w:val="24"/>
          <w:szCs w:val="24"/>
        </w:rPr>
        <w:t>6.1.</w:t>
        <w:tab/>
        <w:t>Os serviços serão executados conforme discriminado abaixo:</w:t>
      </w:r>
    </w:p>
    <w:p>
      <w:pPr>
        <w:pStyle w:val="ListParagraph"/>
        <w:numPr>
          <w:ilvl w:val="2"/>
          <w:numId w:val="1"/>
        </w:numPr>
        <w:spacing w:lineRule="auto" w:line="360"/>
        <w:rPr/>
      </w:pPr>
      <w:r>
        <w:rPr>
          <w:rFonts w:ascii="Times New Roman" w:hAnsi="Times New Roman"/>
          <w:sz w:val="24"/>
          <w:szCs w:val="24"/>
        </w:rPr>
        <w:t xml:space="preserve">Limpeza e conservação – </w:t>
      </w:r>
      <w:r>
        <w:rPr>
          <w:rFonts w:ascii="Times New Roman" w:hAnsi="Times New Roman"/>
          <w:sz w:val="24"/>
          <w:szCs w:val="24"/>
          <w:u w:val="single"/>
        </w:rPr>
        <w:t xml:space="preserve">diariamente </w:t>
      </w:r>
    </w:p>
    <w:p>
      <w:pPr>
        <w:pStyle w:val="Normal"/>
        <w:spacing w:lineRule="auto" w:line="360"/>
        <w:ind w:left="790" w:right="10" w:hanging="765"/>
        <w:jc w:val="both"/>
        <w:rPr/>
      </w:pPr>
      <w:r>
        <w:rPr>
          <w:rFonts w:cs="Times New Roman" w:ascii="Times New Roman" w:hAnsi="Times New Roman"/>
          <w:b/>
          <w:bCs/>
          <w:sz w:val="24"/>
          <w:szCs w:val="24"/>
        </w:rPr>
        <w:t>Duas vezes ao dia:</w:t>
      </w:r>
    </w:p>
    <w:p>
      <w:pPr>
        <w:pStyle w:val="Normal"/>
        <w:numPr>
          <w:ilvl w:val="0"/>
          <w:numId w:val="11"/>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limpeza e desinfecção de todos os banheiros, inclusive vaso sanitário (bacias e assentos), lavatórios (pias e cubas), pisos, etc, com emprego de detergente de limpeza e desinfetantes;</w:t>
      </w:r>
    </w:p>
    <w:p>
      <w:pPr>
        <w:pStyle w:val="Normal"/>
        <w:numPr>
          <w:ilvl w:val="0"/>
          <w:numId w:val="11"/>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coleta de lixo, o qual deverá ser acondicionado em sacos plásticos, removendo-os para local indicado pela Administração;</w:t>
      </w:r>
    </w:p>
    <w:p>
      <w:pPr>
        <w:pStyle w:val="Normal"/>
        <w:numPr>
          <w:ilvl w:val="0"/>
          <w:numId w:val="11"/>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manutenção de toalhas de papel, papel higiênico e sabonete líquido, todos de primeira qualidade, em todos os sanitários.</w:t>
      </w:r>
    </w:p>
    <w:p>
      <w:pPr>
        <w:pStyle w:val="Normal"/>
        <w:spacing w:lineRule="auto" w:line="360"/>
        <w:ind w:left="790" w:right="10" w:hanging="765"/>
        <w:jc w:val="both"/>
        <w:rPr>
          <w:rFonts w:ascii="Times New Roman" w:hAnsi="Times New Roman" w:cs="Times New Roman"/>
          <w:b/>
          <w:b/>
          <w:bCs/>
          <w:sz w:val="24"/>
          <w:szCs w:val="24"/>
        </w:rPr>
      </w:pPr>
      <w:r>
        <w:rPr>
          <w:rFonts w:cs="Times New Roman" w:ascii="Times New Roman" w:hAnsi="Times New Roman"/>
          <w:b/>
          <w:bCs/>
          <w:sz w:val="24"/>
          <w:szCs w:val="24"/>
        </w:rPr>
        <w:t>Diariamente:</w:t>
      </w:r>
    </w:p>
    <w:p>
      <w:pPr>
        <w:pStyle w:val="Normal"/>
        <w:numPr>
          <w:ilvl w:val="0"/>
          <w:numId w:val="10"/>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limpeza, polimento e uso de enceradeira ou mop úmido, em todos os pisos não acarpetados, incluindo as escadas, como granito, vinílico, etc, bem assim a aspiração do pó das áreas acarpetadas e atapetadas caso houver bem assim os que dão acesso ao interior do edifício (antiderrapante);</w:t>
      </w:r>
    </w:p>
    <w:p>
      <w:pPr>
        <w:pStyle w:val="Normal"/>
        <w:numPr>
          <w:ilvl w:val="0"/>
          <w:numId w:val="10"/>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remoção, com pano úmido, de pó das mesas, aparelhos elétricos e corrimão das  escadas;</w:t>
      </w:r>
    </w:p>
    <w:p>
      <w:pPr>
        <w:pStyle w:val="Normal"/>
        <w:numPr>
          <w:ilvl w:val="0"/>
          <w:numId w:val="10"/>
        </w:numPr>
        <w:spacing w:lineRule="auto" w:line="360"/>
        <w:ind w:left="790" w:right="10" w:hanging="765"/>
        <w:jc w:val="both"/>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recolhimento do lixo das salas, banheiros, corredores, e área externa em sacos plásticos;</w:t>
      </w:r>
    </w:p>
    <w:p>
      <w:pPr>
        <w:pStyle w:val="Normal"/>
        <w:numPr>
          <w:ilvl w:val="0"/>
          <w:numId w:val="10"/>
        </w:numPr>
        <w:spacing w:lineRule="auto" w:line="360"/>
        <w:ind w:left="790" w:right="10" w:hanging="765"/>
        <w:jc w:val="both"/>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 xml:space="preserve">deverá ser procedida a coleta seletiva do papel para reciclagem, quando couber, nos termos da IN/MARE n.º 06, de 03 de novembro de 1995; </w:t>
      </w:r>
    </w:p>
    <w:p>
      <w:pPr>
        <w:pStyle w:val="Normal"/>
        <w:numPr>
          <w:ilvl w:val="0"/>
          <w:numId w:val="10"/>
        </w:numPr>
        <w:spacing w:lineRule="auto" w:line="360"/>
        <w:ind w:left="775" w:right="55" w:hanging="765"/>
        <w:jc w:val="both"/>
        <w:rPr>
          <w:rFonts w:ascii="Times New Roman" w:hAnsi="Times New Roman" w:cs="Times New Roman"/>
          <w:sz w:val="24"/>
          <w:szCs w:val="24"/>
        </w:rPr>
      </w:pPr>
      <w:r>
        <w:rPr>
          <w:rFonts w:cs="Times New Roman" w:ascii="Times New Roman" w:hAnsi="Times New Roman"/>
          <w:sz w:val="24"/>
          <w:szCs w:val="24"/>
        </w:rPr>
        <w:t xml:space="preserve">retirada de manchas de qualquer natureza que surjam nas paredes, rodapés, portas e áreas pintadas ou revestidas em fórmica, bem assim de capachos, tapetes e carpetes; </w:t>
      </w:r>
    </w:p>
    <w:p>
      <w:pPr>
        <w:pStyle w:val="Normal"/>
        <w:numPr>
          <w:ilvl w:val="0"/>
          <w:numId w:val="10"/>
        </w:numPr>
        <w:spacing w:lineRule="auto" w:line="360"/>
        <w:ind w:left="775" w:right="55" w:hanging="765"/>
        <w:jc w:val="both"/>
        <w:rPr>
          <w:rFonts w:ascii="Times New Roman" w:hAnsi="Times New Roman" w:cs="Times New Roman"/>
          <w:sz w:val="24"/>
          <w:szCs w:val="24"/>
        </w:rPr>
      </w:pPr>
      <w:r>
        <w:rPr>
          <w:rFonts w:cs="Times New Roman" w:ascii="Times New Roman" w:hAnsi="Times New Roman"/>
          <w:sz w:val="24"/>
          <w:szCs w:val="24"/>
        </w:rPr>
        <w:t>passagem de pano úmido e polimento dos balcões da recepção;</w:t>
      </w:r>
    </w:p>
    <w:p>
      <w:pPr>
        <w:pStyle w:val="Normal"/>
        <w:numPr>
          <w:ilvl w:val="0"/>
          <w:numId w:val="10"/>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retirada de pó dos telefones com uso de produto adequado;</w:t>
      </w:r>
    </w:p>
    <w:p>
      <w:pPr>
        <w:pStyle w:val="Normal"/>
        <w:numPr>
          <w:ilvl w:val="0"/>
          <w:numId w:val="10"/>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distribuição e reposição de garrafão de água mineral nos locais onde houver bebedouro;</w:t>
      </w:r>
    </w:p>
    <w:p>
      <w:pPr>
        <w:pStyle w:val="Normal"/>
        <w:numPr>
          <w:ilvl w:val="0"/>
          <w:numId w:val="10"/>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 xml:space="preserve">limpeza dos espelhos de todos banheiros com produto apropriado, ou sempre que necessário; </w:t>
      </w:r>
    </w:p>
    <w:p>
      <w:pPr>
        <w:pStyle w:val="Normal"/>
        <w:numPr>
          <w:ilvl w:val="0"/>
          <w:numId w:val="10"/>
        </w:numPr>
        <w:spacing w:lineRule="auto" w:line="360"/>
        <w:ind w:left="790" w:right="10" w:hanging="765"/>
        <w:jc w:val="both"/>
        <w:rPr>
          <w:rFonts w:ascii="Times New Roman" w:hAnsi="Times New Roman" w:eastAsia="Arial" w:cs="Times New Roman"/>
          <w:sz w:val="24"/>
          <w:szCs w:val="24"/>
        </w:rPr>
      </w:pPr>
      <w:r>
        <w:rPr>
          <w:rFonts w:eastAsia="Arial" w:cs="Times New Roman" w:ascii="Times New Roman" w:hAnsi="Times New Roman"/>
          <w:sz w:val="24"/>
          <w:szCs w:val="24"/>
        </w:rPr>
        <w:tab/>
        <w:t>limpeza da guarita;</w:t>
      </w:r>
    </w:p>
    <w:p>
      <w:pPr>
        <w:pStyle w:val="Normal"/>
        <w:numPr>
          <w:ilvl w:val="0"/>
          <w:numId w:val="10"/>
        </w:numPr>
        <w:spacing w:lineRule="auto" w:line="360"/>
        <w:ind w:left="790" w:right="10" w:hanging="765"/>
        <w:jc w:val="both"/>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molhar as plantas;</w:t>
      </w:r>
    </w:p>
    <w:p>
      <w:pPr>
        <w:pStyle w:val="Normal"/>
        <w:numPr>
          <w:ilvl w:val="0"/>
          <w:numId w:val="10"/>
        </w:numPr>
        <w:tabs>
          <w:tab w:val="left" w:pos="0" w:leader="none"/>
          <w:tab w:val="left" w:pos="3888" w:leader="none"/>
          <w:tab w:val="left" w:pos="4608" w:leader="none"/>
          <w:tab w:val="left" w:pos="5328" w:leader="none"/>
          <w:tab w:val="left" w:pos="6048" w:leader="none"/>
          <w:tab w:val="left" w:pos="6768" w:leader="none"/>
        </w:tabs>
        <w:spacing w:lineRule="auto" w:line="360"/>
        <w:ind w:left="790" w:right="10" w:hanging="765"/>
        <w:jc w:val="both"/>
        <w:rPr>
          <w:rFonts w:ascii="Times New Roman" w:hAnsi="Times New Roman"/>
          <w:sz w:val="24"/>
          <w:szCs w:val="24"/>
        </w:rPr>
      </w:pPr>
      <w:r>
        <w:rPr>
          <w:rFonts w:cs="Times New Roman" w:ascii="Times New Roman" w:hAnsi="Times New Roman"/>
          <w:sz w:val="24"/>
          <w:szCs w:val="24"/>
        </w:rPr>
        <w:tab/>
        <w:t>e</w:t>
      </w:r>
      <w:r>
        <w:rPr>
          <w:rFonts w:eastAsia="Arial" w:cs="Times New Roman" w:ascii="Times New Roman" w:hAnsi="Times New Roman"/>
          <w:sz w:val="24"/>
          <w:szCs w:val="24"/>
        </w:rPr>
        <w:t>xecutar demais serviços considerados necessários à frequência diária.</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pPr>
      <w:r>
        <w:rPr>
          <w:rFonts w:eastAsia="PalatinoLinotype" w:ascii="Times New Roman" w:hAnsi="Times New Roman"/>
          <w:sz w:val="24"/>
          <w:szCs w:val="24"/>
        </w:rPr>
        <w:t>6.1.2.</w:t>
      </w:r>
      <w:r>
        <w:rPr>
          <w:rFonts w:eastAsia="PalatinoLinotype" w:ascii="Times New Roman" w:hAnsi="Times New Roman"/>
          <w:i/>
          <w:iCs/>
          <w:sz w:val="24"/>
          <w:szCs w:val="24"/>
        </w:rPr>
        <w:t xml:space="preserve"> </w:t>
      </w:r>
      <w:r>
        <w:rPr>
          <w:rFonts w:ascii="Times New Roman" w:hAnsi="Times New Roman"/>
          <w:i w:val="false"/>
          <w:iCs w:val="false"/>
          <w:sz w:val="24"/>
          <w:szCs w:val="24"/>
        </w:rPr>
        <w:t xml:space="preserve">Limpeza e conservação – </w:t>
      </w:r>
      <w:r>
        <w:rPr>
          <w:rFonts w:ascii="Times New Roman" w:hAnsi="Times New Roman"/>
          <w:i w:val="false"/>
          <w:iCs w:val="false"/>
          <w:sz w:val="24"/>
          <w:szCs w:val="24"/>
          <w:u w:val="single"/>
        </w:rPr>
        <w:t>semanalmente:</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ascii="Times New Roman" w:hAnsi="Times New Roman"/>
          <w:sz w:val="24"/>
          <w:szCs w:val="24"/>
          <w:u w:val="single"/>
        </w:rPr>
      </w:pPr>
      <w:r>
        <w:rPr>
          <w:rFonts w:ascii="Times New Roman" w:hAnsi="Times New Roman"/>
          <w:sz w:val="24"/>
          <w:szCs w:val="24"/>
          <w:u w:val="single"/>
        </w:rPr>
      </w:r>
    </w:p>
    <w:p>
      <w:pPr>
        <w:pStyle w:val="Normal"/>
        <w:numPr>
          <w:ilvl w:val="0"/>
          <w:numId w:val="12"/>
        </w:numPr>
        <w:spacing w:lineRule="auto" w:line="360"/>
        <w:ind w:left="790" w:right="10" w:hanging="765"/>
        <w:jc w:val="both"/>
        <w:rPr/>
      </w:pPr>
      <w:r>
        <w:rPr>
          <w:rFonts w:cs="Times New Roman" w:ascii="Times New Roman" w:hAnsi="Times New Roman"/>
          <w:b/>
          <w:bCs/>
          <w:sz w:val="24"/>
          <w:szCs w:val="24"/>
        </w:rPr>
        <w:tab/>
      </w:r>
      <w:r>
        <w:rPr>
          <w:rFonts w:eastAsia="Arial" w:cs="Times New Roman" w:ascii="Times New Roman" w:hAnsi="Times New Roman"/>
          <w:sz w:val="24"/>
          <w:szCs w:val="24"/>
        </w:rPr>
        <w:t>lavagem de corredores e escadas;</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aplicação de cera ou outro produto apropriado para manutenção e polimento de todo piso encerável e, das áreas internas, com emprego de cera apropriada a cada tipo de piso;</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higienização, com uso de produto germicida, dos aparelhos telefônicos e de fac-símile;</w:t>
      </w:r>
    </w:p>
    <w:p>
      <w:pPr>
        <w:pStyle w:val="Normal"/>
        <w:numPr>
          <w:ilvl w:val="0"/>
          <w:numId w:val="12"/>
        </w:numPr>
        <w:spacing w:lineRule="auto" w:line="360"/>
        <w:ind w:left="790" w:right="10" w:hanging="765"/>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lavagem e higienização de bebedouros, utilizando produtos não prejudiciais à saúde humana;</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polimentos de todos os mobiliários de madeira, fazendo uso de produto adequado, visando à sua conservação e brilho;</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 xml:space="preserve"> limpeza das forrações (de couro, pano ou plástico) em assentos e poltronas;</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 xml:space="preserve"> limpeza de todas as portas e maçanetas; </w:t>
      </w:r>
    </w:p>
    <w:p>
      <w:pPr>
        <w:pStyle w:val="Normal"/>
        <w:numPr>
          <w:ilvl w:val="0"/>
          <w:numId w:val="12"/>
        </w:numPr>
        <w:spacing w:lineRule="auto" w:line="360"/>
        <w:ind w:left="790" w:right="10" w:hanging="765"/>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execução dos demais serviços de frequência semanal necessária a critério da administração;</w:t>
      </w:r>
    </w:p>
    <w:p>
      <w:pPr>
        <w:pStyle w:val="Normal"/>
        <w:numPr>
          <w:ilvl w:val="0"/>
          <w:numId w:val="12"/>
        </w:numPr>
        <w:spacing w:lineRule="auto" w:line="360"/>
        <w:ind w:left="716" w:right="-6" w:hanging="723"/>
        <w:jc w:val="both"/>
        <w:rPr/>
      </w:pPr>
      <w:r>
        <w:rPr>
          <w:rFonts w:cs="Times New Roman" w:ascii="Times New Roman" w:hAnsi="Times New Roman"/>
          <w:sz w:val="24"/>
          <w:szCs w:val="24"/>
        </w:rPr>
        <w:t>remoção, com pano úmido, de pó dos armários, arquivos, prateleiras, persianas/cortinas, bem assim dos demais móveis existentes</w:t>
      </w:r>
      <w:r>
        <w:rPr>
          <w:rFonts w:cs="Times New Roman" w:ascii="Times New Roman" w:hAnsi="Times New Roman"/>
          <w:color w:val="000000"/>
          <w:sz w:val="24"/>
          <w:szCs w:val="24"/>
        </w:rPr>
        <w:t>;</w:t>
      </w:r>
    </w:p>
    <w:p>
      <w:pPr>
        <w:pStyle w:val="Normal"/>
        <w:numPr>
          <w:ilvl w:val="0"/>
          <w:numId w:val="12"/>
        </w:numPr>
        <w:spacing w:lineRule="auto" w:line="360"/>
        <w:ind w:left="716" w:right="-6" w:hanging="682"/>
        <w:jc w:val="both"/>
        <w:rPr>
          <w:rFonts w:ascii="Times New Roman" w:hAnsi="Times New Roman" w:cs="Times New Roman"/>
          <w:sz w:val="24"/>
          <w:szCs w:val="24"/>
        </w:rPr>
      </w:pPr>
      <w:r>
        <w:rPr>
          <w:rFonts w:cs="Times New Roman" w:ascii="Times New Roman" w:hAnsi="Times New Roman"/>
          <w:sz w:val="24"/>
          <w:szCs w:val="24"/>
        </w:rPr>
        <w:t>limpeza externa dos bebedouros, utilizando produtos não prejudiciais à saúde humana;</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limpeza dos arquivos com equipamentos apropriados (aspirador e outros), utilizando máscaras de proteção;</w:t>
      </w:r>
    </w:p>
    <w:p>
      <w:pPr>
        <w:pStyle w:val="Normal"/>
        <w:numPr>
          <w:ilvl w:val="0"/>
          <w:numId w:val="12"/>
        </w:numPr>
        <w:spacing w:lineRule="auto" w:line="360"/>
        <w:ind w:left="790" w:right="10" w:hanging="765"/>
        <w:jc w:val="both"/>
        <w:rPr>
          <w:rFonts w:ascii="Times New Roman" w:hAnsi="Times New Roman" w:cs="Times New Roman"/>
          <w:sz w:val="24"/>
          <w:szCs w:val="24"/>
        </w:rPr>
      </w:pPr>
      <w:r>
        <w:rPr>
          <w:rFonts w:cs="Times New Roman" w:ascii="Times New Roman" w:hAnsi="Times New Roman"/>
          <w:sz w:val="24"/>
          <w:szCs w:val="24"/>
        </w:rPr>
        <w:tab/>
        <w:t>limpeza de persianas/cortinas, com equipamento e acessórios adequados;</w:t>
      </w:r>
    </w:p>
    <w:p>
      <w:pPr>
        <w:pStyle w:val="Normal"/>
        <w:numPr>
          <w:ilvl w:val="0"/>
          <w:numId w:val="12"/>
        </w:numPr>
        <w:spacing w:lineRule="auto" w:line="360"/>
        <w:ind w:left="790" w:right="10" w:hanging="765"/>
        <w:jc w:val="both"/>
        <w:rPr/>
      </w:pPr>
      <w:r>
        <w:rPr>
          <w:rFonts w:cs="Times New Roman" w:ascii="Times New Roman" w:hAnsi="Times New Roman"/>
          <w:sz w:val="24"/>
          <w:szCs w:val="24"/>
        </w:rPr>
        <w:tab/>
      </w:r>
      <w:r>
        <w:rPr>
          <w:rFonts w:eastAsia="Arial" w:cs="Times New Roman" w:ascii="Times New Roman" w:hAnsi="Times New Roman"/>
          <w:sz w:val="24"/>
          <w:szCs w:val="24"/>
        </w:rPr>
        <w:t>lavagem de todos os coletores de lixo das áreas interna e externa, incluindo os existentes nos banheiros e gabinetes;</w:t>
      </w:r>
    </w:p>
    <w:p>
      <w:pPr>
        <w:pStyle w:val="Normal"/>
        <w:numPr>
          <w:ilvl w:val="0"/>
          <w:numId w:val="12"/>
        </w:numPr>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ind w:left="790" w:right="10" w:hanging="765"/>
        <w:jc w:val="both"/>
        <w:rPr>
          <w:rFonts w:ascii="Times New Roman" w:hAnsi="Times New Roman" w:eastAsia="PalatinoLinotype"/>
          <w:sz w:val="24"/>
          <w:szCs w:val="24"/>
        </w:rPr>
      </w:pPr>
      <w:r>
        <w:rPr>
          <w:rFonts w:eastAsia="Times New Roman" w:cs="Times New Roman" w:ascii="Times New Roman" w:hAnsi="Times New Roman"/>
          <w:sz w:val="24"/>
          <w:szCs w:val="24"/>
        </w:rPr>
        <w:t xml:space="preserve"> </w:t>
      </w:r>
      <w:r>
        <w:rPr>
          <w:rFonts w:eastAsia="PalatinoLinotype" w:cs="Times New Roman" w:ascii="Times New Roman" w:hAnsi="Times New Roman"/>
          <w:sz w:val="24"/>
          <w:szCs w:val="24"/>
        </w:rPr>
        <w:t xml:space="preserve">execução de outros serviços necessários, a critério da administração; atinentes   ao objeto deste Termo de Referência; </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pPr>
      <w:r>
        <w:rPr>
          <w:rFonts w:eastAsia="PalatinoLinotype" w:ascii="Times New Roman" w:hAnsi="Times New Roman"/>
          <w:sz w:val="24"/>
          <w:szCs w:val="24"/>
        </w:rPr>
        <w:t>6.1.3.</w:t>
      </w:r>
      <w:r>
        <w:rPr>
          <w:rFonts w:ascii="Times New Roman" w:hAnsi="Times New Roman"/>
          <w:sz w:val="24"/>
          <w:szCs w:val="24"/>
        </w:rPr>
        <w:t xml:space="preserve">Limpeza e conservação – </w:t>
      </w:r>
      <w:r>
        <w:rPr>
          <w:rFonts w:ascii="Times New Roman" w:hAnsi="Times New Roman"/>
          <w:sz w:val="24"/>
          <w:szCs w:val="24"/>
          <w:u w:val="single"/>
        </w:rPr>
        <w:t xml:space="preserve">Quinzenalmente: </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ascii="Times New Roman" w:hAnsi="Times New Roman"/>
          <w:sz w:val="24"/>
          <w:szCs w:val="24"/>
          <w:u w:val="single"/>
        </w:rPr>
      </w:pPr>
      <w:r>
        <w:rPr>
          <w:rFonts w:ascii="Times New Roman" w:hAnsi="Times New Roman"/>
          <w:sz w:val="24"/>
          <w:szCs w:val="24"/>
          <w:u w:val="single"/>
        </w:rPr>
      </w:r>
    </w:p>
    <w:p>
      <w:pPr>
        <w:pStyle w:val="Normal"/>
        <w:numPr>
          <w:ilvl w:val="0"/>
          <w:numId w:val="13"/>
        </w:numPr>
        <w:spacing w:lineRule="auto" w:line="360"/>
        <w:ind w:left="790" w:right="10" w:hanging="765"/>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 xml:space="preserve">aspiração de pó dos estofados e cortinas/persianas; </w:t>
      </w:r>
    </w:p>
    <w:p>
      <w:pPr>
        <w:pStyle w:val="Normal"/>
        <w:numPr>
          <w:ilvl w:val="0"/>
          <w:numId w:val="13"/>
        </w:numPr>
        <w:spacing w:lineRule="auto" w:line="360"/>
        <w:ind w:left="790" w:right="10" w:hanging="765"/>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limpeza das cortinas e persianas/venezianas, com remoção de manchas que porventura  existam;</w:t>
      </w:r>
    </w:p>
    <w:p>
      <w:pPr>
        <w:pStyle w:val="Normal"/>
        <w:numPr>
          <w:ilvl w:val="0"/>
          <w:numId w:val="13"/>
        </w:numPr>
        <w:spacing w:lineRule="auto" w:line="360"/>
        <w:ind w:left="790" w:right="10" w:hanging="765"/>
        <w:jc w:val="both"/>
        <w:rPr/>
      </w:pPr>
      <w:r>
        <w:rPr>
          <w:rFonts w:eastAsia="Times New Roman" w:cs="Times New Roman" w:ascii="Times New Roman" w:hAnsi="Times New Roman"/>
          <w:sz w:val="24"/>
          <w:szCs w:val="24"/>
        </w:rPr>
        <w:t xml:space="preserve"> </w:t>
      </w:r>
      <w:r>
        <w:rPr>
          <w:rFonts w:eastAsia="Arial" w:cs="Times New Roman" w:ascii="Times New Roman" w:hAnsi="Times New Roman"/>
          <w:sz w:val="24"/>
          <w:szCs w:val="24"/>
        </w:rPr>
        <w:t>limpeza da face interna das esquadrias metálicas, vidraças e portas de vidro, com emprego de limpa – vidros não-corrosivos, bem como utilização de equipamentos apropriados nos locais de difícil acesso, visando tanto a conservação da pintura como a limpeza total dos vidros;</w:t>
      </w:r>
    </w:p>
    <w:p>
      <w:pPr>
        <w:pStyle w:val="Normal"/>
        <w:numPr>
          <w:ilvl w:val="0"/>
          <w:numId w:val="13"/>
        </w:numPr>
        <w:spacing w:lineRule="auto" w:line="360"/>
        <w:ind w:left="790" w:right="10" w:hanging="765"/>
        <w:jc w:val="both"/>
        <w:rPr/>
      </w:pPr>
      <w:r>
        <w:rPr>
          <w:rFonts w:eastAsia="Times New Roman" w:cs="Times New Roman" w:ascii="Times New Roman" w:hAnsi="Times New Roman"/>
          <w:color w:val="FF0000"/>
          <w:sz w:val="24"/>
          <w:szCs w:val="24"/>
        </w:rPr>
        <w:t xml:space="preserve"> </w:t>
      </w:r>
      <w:r>
        <w:rPr>
          <w:rFonts w:eastAsia="Arial" w:cs="Times New Roman" w:ascii="Times New Roman" w:hAnsi="Times New Roman"/>
          <w:sz w:val="24"/>
          <w:szCs w:val="24"/>
        </w:rPr>
        <w:tab/>
        <w:t>limpeza de todas as passadeiras e capachos, com produto próprio;</w:t>
      </w:r>
    </w:p>
    <w:p>
      <w:pPr>
        <w:pStyle w:val="Normal"/>
        <w:numPr>
          <w:ilvl w:val="0"/>
          <w:numId w:val="13"/>
        </w:numPr>
        <w:tabs>
          <w:tab w:val="left" w:pos="0" w:leader="none"/>
          <w:tab w:val="left" w:pos="2160"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ind w:left="790" w:right="10" w:hanging="765"/>
        <w:jc w:val="both"/>
        <w:rPr>
          <w:rFonts w:ascii="Times New Roman" w:hAnsi="Times New Roman" w:eastAsia="Arial" w:cs="Times New Roman"/>
          <w:sz w:val="24"/>
          <w:szCs w:val="24"/>
        </w:rPr>
      </w:pPr>
      <w:r>
        <w:rPr>
          <w:rFonts w:eastAsia="Arial" w:cs="Times New Roman" w:ascii="Times New Roman" w:hAnsi="Times New Roman"/>
          <w:sz w:val="24"/>
          <w:szCs w:val="24"/>
        </w:rPr>
        <w:t>execução de outros serviços necessários, a critério da administração, atinentes a quaisquer categorias funcional especificadas no objeto.</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pPr>
      <w:r>
        <w:rPr>
          <w:rFonts w:eastAsia="PalatinoLinotype" w:ascii="Times New Roman" w:hAnsi="Times New Roman"/>
          <w:sz w:val="24"/>
          <w:szCs w:val="24"/>
        </w:rPr>
        <w:t>6.1.4.</w:t>
      </w:r>
      <w:r>
        <w:rPr>
          <w:rFonts w:ascii="Times New Roman" w:hAnsi="Times New Roman"/>
          <w:sz w:val="24"/>
          <w:szCs w:val="24"/>
        </w:rPr>
        <w:t xml:space="preserve">Limpeza e conservação – </w:t>
      </w:r>
      <w:r>
        <w:rPr>
          <w:rFonts w:ascii="Times New Roman" w:hAnsi="Times New Roman"/>
          <w:sz w:val="24"/>
          <w:szCs w:val="24"/>
          <w:u w:val="single"/>
        </w:rPr>
        <w:t>Mensalmente :</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ascii="Times New Roman" w:hAnsi="Times New Roman"/>
          <w:sz w:val="24"/>
          <w:szCs w:val="24"/>
          <w:u w:val="single"/>
        </w:rPr>
      </w:pPr>
      <w:r>
        <w:rPr>
          <w:rFonts w:ascii="Times New Roman" w:hAnsi="Times New Roman"/>
          <w:sz w:val="24"/>
          <w:szCs w:val="24"/>
          <w:u w:val="single"/>
        </w:rPr>
      </w:r>
    </w:p>
    <w:p>
      <w:pPr>
        <w:pStyle w:val="Normal"/>
        <w:numPr>
          <w:ilvl w:val="0"/>
          <w:numId w:val="14"/>
        </w:numPr>
        <w:spacing w:lineRule="auto" w:line="360"/>
        <w:ind w:left="790" w:right="10" w:hanging="765"/>
        <w:jc w:val="both"/>
        <w:rPr/>
      </w:pPr>
      <w:r>
        <w:rPr>
          <w:rFonts w:eastAsia="Arial" w:cs="Times New Roman" w:ascii="Times New Roman" w:hAnsi="Times New Roman"/>
          <w:sz w:val="24"/>
          <w:szCs w:val="24"/>
        </w:rPr>
        <w:t>limpeza do mobiliário com utilização de lustra/brilha móvel ou similar.</w:t>
      </w:r>
    </w:p>
    <w:p>
      <w:pPr>
        <w:pStyle w:val="Normal"/>
        <w:numPr>
          <w:ilvl w:val="0"/>
          <w:numId w:val="14"/>
        </w:numPr>
        <w:spacing w:lineRule="auto" w:line="360"/>
        <w:ind w:left="790" w:right="10" w:hanging="765"/>
        <w:jc w:val="both"/>
        <w:rPr/>
      </w:pPr>
      <w:r>
        <w:rPr>
          <w:rFonts w:cs="Times New Roman" w:ascii="Times New Roman" w:hAnsi="Times New Roman"/>
          <w:color w:val="000000"/>
          <w:sz w:val="24"/>
          <w:szCs w:val="24"/>
        </w:rPr>
        <w:t>l</w:t>
      </w:r>
      <w:r>
        <w:rPr>
          <w:rFonts w:eastAsia="Arial" w:cs="Times New Roman" w:ascii="Times New Roman" w:hAnsi="Times New Roman"/>
          <w:color w:val="000000"/>
          <w:sz w:val="24"/>
          <w:szCs w:val="24"/>
        </w:rPr>
        <w:t>impeza atrás dos móveis, armários e arquivos;</w:t>
      </w:r>
    </w:p>
    <w:p>
      <w:pPr>
        <w:pStyle w:val="Normal"/>
        <w:numPr>
          <w:ilvl w:val="0"/>
          <w:numId w:val="14"/>
        </w:numPr>
        <w:spacing w:lineRule="auto" w:line="360"/>
        <w:ind w:left="790" w:right="10" w:hanging="765"/>
        <w:jc w:val="both"/>
        <w:rPr/>
      </w:pPr>
      <w:r>
        <w:rPr>
          <w:rFonts w:eastAsia="Arial" w:cs="Times New Roman" w:ascii="Times New Roman" w:hAnsi="Times New Roman"/>
          <w:sz w:val="24"/>
          <w:szCs w:val="24"/>
        </w:rPr>
        <w:t xml:space="preserve">limpeza das paredes internas, inclusive divisórias, com produtos não corrosivos, visando à conservação da pintura e, </w:t>
      </w:r>
    </w:p>
    <w:p>
      <w:pPr>
        <w:pStyle w:val="Normal"/>
        <w:numPr>
          <w:ilvl w:val="0"/>
          <w:numId w:val="14"/>
        </w:numPr>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ind w:left="790" w:right="10" w:hanging="765"/>
        <w:jc w:val="both"/>
        <w:rPr/>
      </w:pPr>
      <w:r>
        <w:rPr>
          <w:rFonts w:eastAsia="Arial" w:cs="Times New Roman" w:ascii="Times New Roman" w:hAnsi="Times New Roman"/>
          <w:sz w:val="24"/>
          <w:szCs w:val="24"/>
          <w:u w:val="single"/>
        </w:rPr>
        <w:tab/>
        <w:t>e</w:t>
      </w:r>
      <w:r>
        <w:rPr>
          <w:rFonts w:cs="Times New Roman" w:ascii="Times New Roman" w:hAnsi="Times New Roman"/>
          <w:sz w:val="24"/>
          <w:szCs w:val="24"/>
          <w:u w:val="single"/>
        </w:rPr>
        <w:t>xecução de outros serviços necessários, a critério da administração, atinentes ao objeto deste Termo de Referência.</w:t>
      </w:r>
    </w:p>
    <w:p>
      <w:pPr>
        <w:pStyle w:val="Normal"/>
        <w:tabs>
          <w:tab w:val="left" w:pos="0" w:leader="none"/>
          <w:tab w:val="left" w:pos="2160"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ind w:firstLine="426"/>
        <w:rPr>
          <w:rFonts w:ascii="Times New Roman" w:hAnsi="Times New Roman"/>
          <w:sz w:val="24"/>
          <w:szCs w:val="24"/>
        </w:rPr>
      </w:pPr>
      <w:r>
        <w:rPr>
          <w:rFonts w:ascii="Times New Roman" w:hAnsi="Times New Roman"/>
          <w:sz w:val="24"/>
          <w:szCs w:val="24"/>
        </w:rPr>
      </w:r>
    </w:p>
    <w:p>
      <w:pPr>
        <w:pStyle w:val="Normal"/>
        <w:ind w:firstLine="426"/>
        <w:rPr>
          <w:rFonts w:ascii="Times New Roman" w:hAnsi="Times New Roman"/>
          <w:sz w:val="24"/>
          <w:szCs w:val="24"/>
        </w:rPr>
      </w:pPr>
      <w:r>
        <w:rPr>
          <w:rFonts w:ascii="Times New Roman" w:hAnsi="Times New Roman"/>
          <w:sz w:val="24"/>
          <w:szCs w:val="24"/>
        </w:rPr>
        <w:t xml:space="preserve">6.1.5.Limpeza e conservação – </w:t>
      </w:r>
      <w:r>
        <w:rPr>
          <w:rFonts w:ascii="Times New Roman" w:hAnsi="Times New Roman"/>
          <w:sz w:val="24"/>
          <w:szCs w:val="24"/>
          <w:u w:val="single"/>
        </w:rPr>
        <w:t xml:space="preserve">semestralmente </w:t>
      </w:r>
    </w:p>
    <w:p>
      <w:pPr>
        <w:pStyle w:val="Normal"/>
        <w:rPr>
          <w:rFonts w:ascii="Times New Roman" w:hAnsi="Times New Roman"/>
          <w:sz w:val="24"/>
          <w:szCs w:val="24"/>
        </w:rPr>
      </w:pPr>
      <w:r>
        <w:rPr>
          <w:rFonts w:ascii="Times New Roman" w:hAnsi="Times New Roman"/>
          <w:sz w:val="24"/>
          <w:szCs w:val="24"/>
        </w:rPr>
      </w:r>
    </w:p>
    <w:tbl>
      <w:tblPr>
        <w:tblW w:w="8940" w:type="dxa"/>
        <w:jc w:val="left"/>
        <w:tblInd w:w="62" w:type="dxa"/>
        <w:tblBorders/>
        <w:tblCellMar>
          <w:top w:w="0" w:type="dxa"/>
          <w:left w:w="70" w:type="dxa"/>
          <w:bottom w:w="0" w:type="dxa"/>
          <w:right w:w="70" w:type="dxa"/>
        </w:tblCellMar>
        <w:tblLook w:firstRow="0" w:noVBand="0" w:lastRow="0" w:firstColumn="0" w:lastColumn="0" w:noHBand="0" w:val="0000"/>
      </w:tblPr>
      <w:tblGrid>
        <w:gridCol w:w="1138"/>
        <w:gridCol w:w="7801"/>
      </w:tblGrid>
      <w:tr>
        <w:trPr/>
        <w:tc>
          <w:tcPr>
            <w:tcW w:w="1138" w:type="dxa"/>
            <w:tcBorders/>
            <w:shd w:fill="auto" w:val="clear"/>
          </w:tcPr>
          <w:p>
            <w:pPr>
              <w:pStyle w:val="Normal"/>
              <w:rPr/>
            </w:pPr>
            <w:r>
              <w:rPr>
                <w:rFonts w:ascii="Times New Roman" w:hAnsi="Times New Roman"/>
                <w:sz w:val="24"/>
                <w:szCs w:val="24"/>
              </w:rPr>
              <w:t>a)</w:t>
            </w:r>
          </w:p>
        </w:tc>
        <w:tc>
          <w:tcPr>
            <w:tcW w:w="7801" w:type="dxa"/>
            <w:tcBorders/>
            <w:shd w:fill="auto" w:val="clear"/>
          </w:tcPr>
          <w:p>
            <w:pPr>
              <w:pStyle w:val="Normal"/>
              <w:rPr>
                <w:rFonts w:ascii="Times New Roman" w:hAnsi="Times New Roman"/>
                <w:sz w:val="24"/>
                <w:szCs w:val="24"/>
              </w:rPr>
            </w:pPr>
            <w:r>
              <w:rPr>
                <w:rFonts w:ascii="Times New Roman" w:hAnsi="Times New Roman"/>
                <w:sz w:val="24"/>
                <w:szCs w:val="24"/>
              </w:rPr>
              <w:t>Executar os demais serviços considerados essenciais para um ambiente limpo e higienizado, não abarcados pelos itens acima, que compreendam a necessidade de uma frequência semestral;</w:t>
            </w:r>
          </w:p>
          <w:p>
            <w:pPr>
              <w:pStyle w:val="Normal"/>
              <w:rPr>
                <w:rFonts w:ascii="Times New Roman" w:hAnsi="Times New Roman"/>
                <w:sz w:val="24"/>
                <w:szCs w:val="24"/>
              </w:rPr>
            </w:pPr>
            <w:r>
              <w:rPr>
                <w:rFonts w:ascii="Times New Roman" w:hAnsi="Times New Roman"/>
                <w:sz w:val="24"/>
                <w:szCs w:val="24"/>
              </w:rPr>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426"/>
        <w:rPr>
          <w:rFonts w:ascii="Times New Roman" w:hAnsi="Times New Roman"/>
          <w:sz w:val="24"/>
          <w:szCs w:val="24"/>
        </w:rPr>
      </w:pPr>
      <w:r>
        <w:rPr>
          <w:rFonts w:eastAsia="PalatinoLinotype" w:ascii="Times New Roman" w:hAnsi="Times New Roman"/>
          <w:sz w:val="24"/>
          <w:szCs w:val="24"/>
        </w:rPr>
        <w:t xml:space="preserve">6.1.6. </w:t>
      </w:r>
      <w:r>
        <w:rPr>
          <w:rFonts w:ascii="Times New Roman" w:hAnsi="Times New Roman"/>
          <w:sz w:val="24"/>
          <w:szCs w:val="24"/>
        </w:rPr>
        <w:t xml:space="preserve">Copeira </w:t>
      </w:r>
      <w:r>
        <w:rPr>
          <w:rFonts w:cs="Times New Roman" w:ascii="Times New Roman" w:hAnsi="Times New Roman"/>
          <w:sz w:val="24"/>
          <w:szCs w:val="24"/>
          <w:u w:val="single"/>
        </w:rPr>
        <w:t xml:space="preserve">(exclusivo para sede da 7ª superintendência) </w:t>
      </w:r>
      <w:r>
        <w:rPr>
          <w:rFonts w:ascii="Times New Roman" w:hAnsi="Times New Roman"/>
          <w:sz w:val="24"/>
          <w:szCs w:val="24"/>
        </w:rPr>
        <w:t xml:space="preserve">– </w:t>
      </w:r>
      <w:r>
        <w:rPr>
          <w:rFonts w:ascii="Times New Roman" w:hAnsi="Times New Roman"/>
          <w:sz w:val="24"/>
          <w:szCs w:val="24"/>
          <w:u w:val="single"/>
        </w:rPr>
        <w:t xml:space="preserve">diariamente </w:t>
      </w:r>
    </w:p>
    <w:p>
      <w:pPr>
        <w:pStyle w:val="Normal"/>
        <w:tabs>
          <w:tab w:val="left" w:pos="0" w:leader="none"/>
          <w:tab w:val="left" w:pos="3888" w:leader="none"/>
          <w:tab w:val="left" w:pos="4608" w:leader="none"/>
          <w:tab w:val="left" w:pos="5328" w:leader="none"/>
          <w:tab w:val="left" w:pos="6048" w:leader="none"/>
          <w:tab w:val="left" w:pos="6768" w:leader="none"/>
        </w:tabs>
        <w:ind w:firstLine="709"/>
        <w:rPr>
          <w:rFonts w:ascii="Times New Roman" w:hAnsi="Times New Roman"/>
          <w:sz w:val="24"/>
          <w:szCs w:val="24"/>
        </w:rPr>
      </w:pPr>
      <w:r>
        <w:rPr>
          <w:rFonts w:ascii="Times New Roman" w:hAnsi="Times New Roman"/>
          <w:sz w:val="24"/>
          <w:szCs w:val="24"/>
        </w:rPr>
      </w:r>
    </w:p>
    <w:tbl>
      <w:tblPr>
        <w:tblW w:w="9423" w:type="dxa"/>
        <w:jc w:val="left"/>
        <w:tblInd w:w="-68" w:type="dxa"/>
        <w:tblBorders/>
        <w:tblCellMar>
          <w:top w:w="0" w:type="dxa"/>
          <w:left w:w="70" w:type="dxa"/>
          <w:bottom w:w="0" w:type="dxa"/>
          <w:right w:w="70" w:type="dxa"/>
        </w:tblCellMar>
        <w:tblLook w:firstRow="0" w:noVBand="0" w:lastRow="0" w:firstColumn="0" w:lastColumn="0" w:noHBand="0" w:val="0000"/>
      </w:tblPr>
      <w:tblGrid>
        <w:gridCol w:w="1305"/>
        <w:gridCol w:w="8048"/>
        <w:gridCol w:w="70"/>
      </w:tblGrid>
      <w:tr>
        <w:trPr/>
        <w:tc>
          <w:tcPr>
            <w:tcW w:w="1305" w:type="dxa"/>
            <w:tcBorders/>
            <w:shd w:fill="auto" w:val="clear"/>
            <w:vAlign w:val="center"/>
          </w:tcPr>
          <w:p>
            <w:pPr>
              <w:pStyle w:val="Normal"/>
              <w:numPr>
                <w:ilvl w:val="0"/>
                <w:numId w:val="17"/>
              </w:numPr>
              <w:tabs>
                <w:tab w:val="left" w:pos="0" w:leader="none"/>
                <w:tab w:val="left" w:pos="3888" w:leader="none"/>
                <w:tab w:val="left" w:pos="4608" w:leader="none"/>
                <w:tab w:val="left" w:pos="5328" w:leader="none"/>
                <w:tab w:val="left" w:pos="6048" w:leader="none"/>
                <w:tab w:val="left" w:pos="6768" w:leader="none"/>
              </w:tabs>
              <w:ind w:left="720"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color w:val="00000A"/>
                <w:sz w:val="24"/>
                <w:szCs w:val="24"/>
              </w:rPr>
              <w:t>Preparar bandejas, pratos e mesas</w:t>
            </w:r>
            <w:r>
              <w:rPr>
                <w:rFonts w:ascii="Times New Roman" w:hAnsi="Times New Roman"/>
                <w:sz w:val="24"/>
                <w:szCs w:val="24"/>
              </w:rPr>
              <w:t>;</w:t>
            </w:r>
          </w:p>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color w:val="00000A"/>
                <w:sz w:val="24"/>
                <w:szCs w:val="24"/>
              </w:rPr>
              <w:t>Recolher xícaras, copos, garrafas térmicas, jarras e demais utensílios, durante o expediente da CODEVASF, no mínimo duas vezes por dia, ou sempre que solicitado pela fiscalização</w:t>
            </w:r>
            <w:r>
              <w:rPr>
                <w:rFonts w:ascii="Times New Roman" w:hAnsi="Times New Roman"/>
                <w:sz w:val="24"/>
                <w:szCs w:val="24"/>
              </w:rPr>
              <w:t>;</w:t>
            </w:r>
          </w:p>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 w:val="left" w:pos="3888" w:leader="none"/>
                <w:tab w:val="left" w:pos="4608" w:leader="none"/>
                <w:tab w:val="left" w:pos="5328" w:leader="none"/>
                <w:tab w:val="left" w:pos="6048" w:leader="none"/>
                <w:tab w:val="left" w:pos="6768" w:leader="none"/>
              </w:tabs>
              <w:rPr/>
            </w:pPr>
            <w:r>
              <w:rPr>
                <w:rFonts w:ascii="Times New Roman" w:hAnsi="Times New Roman"/>
                <w:sz w:val="24"/>
                <w:szCs w:val="24"/>
              </w:rPr>
              <w:t>Preparar e servir café, pela manhã e à tarde.</w:t>
            </w:r>
          </w:p>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t>Manusear e servir água em copos de vidros e café em xícaras de porcelana em reuniões e eventos, ou sempre que solicitado;</w:t>
            </w:r>
          </w:p>
          <w:p>
            <w:pPr>
              <w:pStyle w:val="Normal"/>
              <w:tabs>
                <w:tab w:val="left" w:pos="0"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Efetuar a limpeza diária da copa/cozinha, mantendo o ambiente sempre limpo, higienizado e organizado;</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Efetuar a limpeza dos bebedouros, com pano e produto adequado;</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Limpar, com saneantes domissanitários adequados, o piso no interior da copa/cozinha, nos intervalos de preparo do café, e quando necessário. O asseio, conservação e higienização da copa/cozinha é de fundamental importância, principalmente quanto ao piso, que deverá estar constantemente seco, objetivando evitar acidentes;</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Lavar os utensílios de copa/cozinha, tais como: copos, talheres, xícaras, bules, jarras e demais utensílios, mantendo-os sempre limpos e organizados;</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Recolher bandejas, xícaras, copos, jarras e demais utensílios das salas ao final do dia.</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 xml:space="preserve">Realizar limpeza dos equipamentos da copa/cozinha, tais como: utensílios usados para preparar o café, forno micro-ondas, armários, geladeiras, liquidificador e outros utilizados no dia-a-dia; </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Preparar e servir café, chá e água mineral em eventos que ocorram na CODEVASF, auxiliando na montagem de mesas para lanches em geral;</w:t>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ind w:left="720" w:right="-388" w:hanging="0"/>
              <w:jc w:val="left"/>
              <w:rPr>
                <w:rFonts w:ascii="Times New Roman" w:hAnsi="Times New Roman"/>
                <w:sz w:val="24"/>
                <w:szCs w:val="24"/>
              </w:rPr>
            </w:pPr>
            <w:r>
              <w:rPr>
                <w:rFonts w:ascii="Times New Roman" w:hAnsi="Times New Roman"/>
                <w:sz w:val="24"/>
                <w:szCs w:val="24"/>
              </w:rPr>
            </w:r>
          </w:p>
        </w:tc>
        <w:tc>
          <w:tcPr>
            <w:tcW w:w="8048" w:type="dxa"/>
            <w:tcBorders/>
            <w:shd w:fill="auto" w:val="clear"/>
          </w:tcPr>
          <w:p>
            <w:pPr>
              <w:pStyle w:val="Normal"/>
              <w:tabs>
                <w:tab w:val="left" w:pos="0" w:leader="none"/>
              </w:tabs>
              <w:rPr>
                <w:rFonts w:ascii="Times New Roman" w:hAnsi="Times New Roman"/>
                <w:sz w:val="24"/>
                <w:szCs w:val="24"/>
              </w:rPr>
            </w:pPr>
            <w:r>
              <w:rPr>
                <w:rFonts w:ascii="Times New Roman" w:hAnsi="Times New Roman"/>
                <w:color w:val="00000A"/>
                <w:sz w:val="24"/>
                <w:szCs w:val="24"/>
              </w:rPr>
              <w:t>Preparar, sempre que solicitado, e distribuir café, água e demais bebidas</w:t>
            </w:r>
            <w:r>
              <w:rPr>
                <w:rFonts w:ascii="Times New Roman" w:hAnsi="Times New Roman"/>
                <w:sz w:val="24"/>
                <w:szCs w:val="24"/>
              </w:rPr>
              <w:t>;</w:t>
            </w:r>
          </w:p>
          <w:p>
            <w:pPr>
              <w:pStyle w:val="Normal"/>
              <w:tabs>
                <w:tab w:val="left" w:pos="0" w:leader="none"/>
              </w:tabs>
              <w:rPr>
                <w:rFonts w:ascii="Times New Roman" w:hAnsi="Times New Roman"/>
                <w:sz w:val="24"/>
                <w:szCs w:val="24"/>
              </w:rPr>
            </w:pPr>
            <w:r>
              <w:rPr>
                <w:rFonts w:ascii="Times New Roman" w:hAnsi="Times New Roman"/>
                <w:sz w:val="24"/>
                <w:szCs w:val="24"/>
              </w:rPr>
            </w:r>
          </w:p>
        </w:tc>
        <w:tc>
          <w:tcPr>
            <w:tcW w:w="70" w:type="dxa"/>
            <w:tcBorders/>
            <w:shd w:fill="auto" w:val="clear"/>
          </w:tcPr>
          <w:p>
            <w:pPr>
              <w:pStyle w:val="Normal"/>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color w:val="00000A"/>
                <w:sz w:val="24"/>
                <w:szCs w:val="24"/>
              </w:rPr>
              <w:t>Zelar pelo funcionamento dos equipamentos colocados à disposição de seus funcionários</w:t>
            </w:r>
            <w:r>
              <w:rPr>
                <w:rFonts w:ascii="Times New Roman" w:hAnsi="Times New Roman"/>
                <w:sz w:val="24"/>
                <w:szCs w:val="24"/>
              </w:rPr>
              <w:t>;</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color w:val="00000A"/>
                <w:sz w:val="24"/>
                <w:szCs w:val="24"/>
              </w:rPr>
              <w:t>Comunicar, de imediato, qualquer dificuldade, defeito ou estrago que venham a impedir o bom andamento das atividades</w:t>
            </w:r>
            <w:r>
              <w:rPr>
                <w:rFonts w:ascii="Times New Roman" w:hAnsi="Times New Roman"/>
                <w:sz w:val="24"/>
                <w:szCs w:val="24"/>
              </w:rPr>
              <w:t>;</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 xml:space="preserve">Evitar desperdícios de materiais; </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pPr>
            <w:r>
              <w:rPr>
                <w:rFonts w:ascii="Times New Roman" w:hAnsi="Times New Roman"/>
                <w:color w:val="00000A"/>
                <w:sz w:val="24"/>
                <w:szCs w:val="24"/>
              </w:rPr>
              <w:t>Notificar à Contratante o desaparecimento ou a quebra de qualquer utensílio pertencente à copa</w:t>
            </w:r>
            <w:r>
              <w:rPr>
                <w:rFonts w:ascii="Times New Roman" w:hAnsi="Times New Roman"/>
                <w:sz w:val="24"/>
                <w:szCs w:val="24"/>
              </w:rPr>
              <w:t>;</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Zelar pela segurança e manutenção das instalações, mobiliários e equipamentos das copas;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Descartar o lixo da copa e realizar a separação do lixo orgânico do inorgânico ou reciclável, em sacos plásticos resistentes ao transporte do mesmo, os quais deverão estar acondicionados em recipientes providos de tampa. Este lixo será recolhido por um funcionário da equipe de limpeza e conservação;</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5" w:type="dxa"/>
            <w:tcBorders/>
            <w:shd w:fill="auto" w:val="clear"/>
            <w:vAlign w:val="center"/>
          </w:tcPr>
          <w:p>
            <w:pPr>
              <w:pStyle w:val="Normal"/>
              <w:numPr>
                <w:ilvl w:val="0"/>
                <w:numId w:val="17"/>
              </w:numPr>
              <w:jc w:val="left"/>
              <w:rPr>
                <w:rFonts w:ascii="Times New Roman" w:hAnsi="Times New Roman"/>
                <w:sz w:val="24"/>
                <w:szCs w:val="24"/>
              </w:rPr>
            </w:pPr>
            <w:r>
              <w:rPr>
                <w:rFonts w:ascii="Times New Roman" w:hAnsi="Times New Roman"/>
                <w:sz w:val="24"/>
                <w:szCs w:val="24"/>
              </w:rPr>
            </w:r>
          </w:p>
        </w:tc>
        <w:tc>
          <w:tcPr>
            <w:tcW w:w="8118" w:type="dxa"/>
            <w:gridSpan w:val="2"/>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Executar outras atividades consideradas necessárias ao exercício da função diária.</w:t>
            </w:r>
          </w:p>
          <w:p>
            <w:pPr>
              <w:pStyle w:val="Normal"/>
              <w:tabs>
                <w:tab w:val="left" w:pos="0" w:leader="none"/>
              </w:tabs>
              <w:rPr>
                <w:rFonts w:ascii="Times New Roman" w:hAnsi="Times New Roman"/>
                <w:sz w:val="24"/>
                <w:szCs w:val="24"/>
              </w:rPr>
            </w:pPr>
            <w:r>
              <w:rPr>
                <w:rFonts w:ascii="Times New Roman" w:hAnsi="Times New Roman"/>
                <w:sz w:val="24"/>
                <w:szCs w:val="24"/>
              </w:rPr>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pPr>
      <w:r>
        <w:rPr>
          <w:rFonts w:eastAsia="PalatinoLinotype" w:ascii="Times New Roman" w:hAnsi="Times New Roman"/>
          <w:sz w:val="24"/>
          <w:szCs w:val="24"/>
        </w:rPr>
        <w:t xml:space="preserve">6.1.7. </w:t>
      </w:r>
      <w:r>
        <w:rPr>
          <w:rFonts w:ascii="Times New Roman" w:hAnsi="Times New Roman"/>
          <w:sz w:val="24"/>
          <w:szCs w:val="24"/>
        </w:rPr>
        <w:t xml:space="preserve">Copeira – </w:t>
      </w:r>
      <w:r>
        <w:rPr>
          <w:rFonts w:ascii="Times New Roman" w:hAnsi="Times New Roman"/>
          <w:sz w:val="24"/>
          <w:szCs w:val="24"/>
          <w:u w:val="single"/>
        </w:rPr>
        <w:t>semanalmente:</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u w:val="single"/>
        </w:rPr>
      </w:pPr>
      <w:r>
        <w:rPr>
          <w:u w:val="single"/>
        </w:rPr>
      </w:r>
    </w:p>
    <w:tbl>
      <w:tblPr>
        <w:tblW w:w="9195" w:type="dxa"/>
        <w:jc w:val="left"/>
        <w:tblInd w:w="-58" w:type="dxa"/>
        <w:tblBorders/>
        <w:tblCellMar>
          <w:top w:w="0" w:type="dxa"/>
          <w:left w:w="70" w:type="dxa"/>
          <w:bottom w:w="0" w:type="dxa"/>
          <w:right w:w="70" w:type="dxa"/>
        </w:tblCellMar>
        <w:tblLook w:firstRow="0" w:noVBand="0" w:lastRow="0" w:firstColumn="0" w:lastColumn="0" w:noHBand="0" w:val="0000"/>
      </w:tblPr>
      <w:tblGrid>
        <w:gridCol w:w="1302"/>
        <w:gridCol w:w="7892"/>
      </w:tblGrid>
      <w:tr>
        <w:trPr/>
        <w:tc>
          <w:tcPr>
            <w:tcW w:w="1302" w:type="dxa"/>
            <w:tcBorders/>
            <w:shd w:fill="auto" w:val="clear"/>
          </w:tcPr>
          <w:p>
            <w:pPr>
              <w:pStyle w:val="Normal"/>
              <w:numPr>
                <w:ilvl w:val="0"/>
                <w:numId w:val="16"/>
              </w:numPr>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rPr>
                <w:rFonts w:ascii="Times New Roman" w:hAnsi="Times New Roman"/>
                <w:sz w:val="24"/>
                <w:szCs w:val="24"/>
              </w:rPr>
            </w:pPr>
            <w:r>
              <w:rPr>
                <w:rFonts w:ascii="Times New Roman" w:hAnsi="Times New Roman"/>
                <w:sz w:val="24"/>
                <w:szCs w:val="24"/>
              </w:rPr>
              <w:t>Lavar, limpar, desinfetar e higienizar as dependências internas das copas, incluindo pias, torneiras, bancadas, bandejas, móveis, armários, paredes, vidros, esquadrias, rodapés, e outros, fazendo uso de pano e produtos adequados a cada tipo de material a ser limpo e não prejudiciais à saúde humana, conservando-se o mais rigoroso padrão de higiene, arrumação e segurança;</w:t>
            </w:r>
          </w:p>
          <w:p>
            <w:pPr>
              <w:pStyle w:val="Normal"/>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6"/>
              </w:numPr>
              <w:rPr>
                <w:rFonts w:ascii="Times New Roman" w:hAnsi="Times New Roman" w:eastAsia="PalatinoLinotype"/>
                <w:sz w:val="24"/>
                <w:szCs w:val="24"/>
              </w:rPr>
            </w:pPr>
            <w:r>
              <w:rPr>
                <w:rFonts w:eastAsia="PalatinoLinotype" w:ascii="Times New Roman" w:hAnsi="Times New Roman"/>
                <w:sz w:val="24"/>
                <w:szCs w:val="24"/>
              </w:rPr>
            </w:r>
          </w:p>
        </w:tc>
        <w:tc>
          <w:tcPr>
            <w:tcW w:w="7892" w:type="dxa"/>
            <w:tcBorders/>
            <w:shd w:fill="auto" w:val="clear"/>
          </w:tcPr>
          <w:p>
            <w:pPr>
              <w:pStyle w:val="Normal"/>
              <w:rPr/>
            </w:pPr>
            <w:r>
              <w:rPr>
                <w:rFonts w:ascii="Times New Roman" w:hAnsi="Times New Roman"/>
                <w:sz w:val="24"/>
                <w:szCs w:val="24"/>
              </w:rPr>
              <w:t>Comunicar ao encarregado da empresa, com antecedência mínima de 24 h (vinte e quatro horas), a necessidade de qualquer material para a execução dos serviços;</w:t>
            </w:r>
          </w:p>
        </w:tc>
      </w:tr>
      <w:tr>
        <w:trPr/>
        <w:tc>
          <w:tcPr>
            <w:tcW w:w="1302" w:type="dxa"/>
            <w:tcBorders/>
            <w:shd w:fill="auto" w:val="clear"/>
          </w:tcPr>
          <w:p>
            <w:pPr>
              <w:pStyle w:val="Normal"/>
              <w:numPr>
                <w:ilvl w:val="0"/>
                <w:numId w:val="16"/>
              </w:numPr>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rPr>
                <w:rFonts w:ascii="Times New Roman" w:hAnsi="Times New Roman"/>
                <w:sz w:val="24"/>
                <w:szCs w:val="24"/>
              </w:rPr>
            </w:pPr>
            <w:r>
              <w:rPr>
                <w:rFonts w:ascii="Times New Roman" w:hAnsi="Times New Roman"/>
                <w:sz w:val="24"/>
                <w:szCs w:val="24"/>
              </w:rPr>
              <w:t xml:space="preserve">Limpar geladeiras, micro-ondas e demais equipamentos de copa/cozinha da Contratante, ainda que não estejam localizados no ambiente das copas, pelo menos uma vez por semana, preferencialmente às segundas-feiras, ou sempre que solicitado em caso de não estarem localizados nas copas; </w:t>
            </w:r>
          </w:p>
          <w:p>
            <w:pPr>
              <w:pStyle w:val="Normal"/>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6"/>
              </w:numPr>
              <w:rPr>
                <w:rFonts w:ascii="Times New Roman" w:hAnsi="Times New Roman" w:eastAsia="PalatinoLinotype"/>
                <w:sz w:val="24"/>
                <w:szCs w:val="24"/>
              </w:rPr>
            </w:pPr>
            <w:r>
              <w:rPr>
                <w:rFonts w:eastAsia="PalatinoLinotype" w:ascii="Times New Roman" w:hAnsi="Times New Roman"/>
                <w:sz w:val="24"/>
                <w:szCs w:val="24"/>
              </w:rPr>
            </w:r>
          </w:p>
        </w:tc>
        <w:tc>
          <w:tcPr>
            <w:tcW w:w="7892" w:type="dxa"/>
            <w:tcBorders/>
            <w:shd w:fill="auto" w:val="clear"/>
          </w:tcPr>
          <w:p>
            <w:pPr>
              <w:pStyle w:val="Normal"/>
              <w:rPr>
                <w:rFonts w:ascii="Times New Roman" w:hAnsi="Times New Roman"/>
                <w:sz w:val="24"/>
                <w:szCs w:val="24"/>
              </w:rPr>
            </w:pPr>
            <w:r>
              <w:rPr>
                <w:rFonts w:ascii="Times New Roman" w:hAnsi="Times New Roman"/>
                <w:sz w:val="24"/>
                <w:szCs w:val="24"/>
              </w:rPr>
              <w:t>O rol de tarefas e de periodicidade listado nos itens acima é apenas exemplificativo, podendo ser exigidas outras atividades não constantes nele, bem como uma frequência diferenciada daquela determinada, em razão de necessidade e de adequação dos serviços, para que estes atendam a contento a demanda existente;</w:t>
            </w:r>
          </w:p>
          <w:p>
            <w:pPr>
              <w:pStyle w:val="Normal"/>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6"/>
              </w:numPr>
              <w:rPr>
                <w:rFonts w:ascii="Times New Roman" w:hAnsi="Times New Roman" w:eastAsia="PalatinoLinotype"/>
                <w:sz w:val="24"/>
                <w:szCs w:val="24"/>
              </w:rPr>
            </w:pPr>
            <w:r>
              <w:rPr>
                <w:rFonts w:eastAsia="PalatinoLinotype" w:ascii="Times New Roman" w:hAnsi="Times New Roman"/>
                <w:sz w:val="24"/>
                <w:szCs w:val="24"/>
              </w:rPr>
            </w:r>
          </w:p>
        </w:tc>
        <w:tc>
          <w:tcPr>
            <w:tcW w:w="7892" w:type="dxa"/>
            <w:tcBorders/>
            <w:shd w:fill="auto" w:val="clear"/>
          </w:tcPr>
          <w:p>
            <w:pPr>
              <w:pStyle w:val="Normal"/>
              <w:rPr>
                <w:rFonts w:ascii="Times New Roman" w:hAnsi="Times New Roman"/>
                <w:sz w:val="24"/>
                <w:szCs w:val="24"/>
              </w:rPr>
            </w:pPr>
            <w:r>
              <w:rPr>
                <w:rFonts w:ascii="Times New Roman" w:hAnsi="Times New Roman"/>
                <w:sz w:val="24"/>
                <w:szCs w:val="24"/>
              </w:rPr>
              <w:t>Executar outras atividades consideradas necessárias ao exercício da função semanal.</w:t>
            </w:r>
          </w:p>
        </w:tc>
      </w:tr>
    </w:tbl>
    <w:p>
      <w:pPr>
        <w:pStyle w:val="Normal"/>
        <w:rPr>
          <w:rFonts w:ascii="Times New Roman" w:hAnsi="Times New Roman"/>
          <w:sz w:val="24"/>
          <w:szCs w:val="24"/>
        </w:rPr>
      </w:pPr>
      <w:r>
        <w:rPr>
          <w:rFonts w:ascii="Times New Roman" w:hAnsi="Times New Roman"/>
          <w:sz w:val="24"/>
          <w:szCs w:val="24"/>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rFonts w:ascii="Times New Roman" w:hAnsi="Times New Roman" w:eastAsia="PalatinoLinotype"/>
          <w:sz w:val="24"/>
          <w:szCs w:val="24"/>
        </w:rPr>
      </w:pPr>
      <w:r>
        <w:rPr>
          <w:rFonts w:eastAsia="PalatinoLinotype" w:ascii="Times New Roman" w:hAnsi="Times New Roman"/>
          <w:sz w:val="24"/>
          <w:szCs w:val="24"/>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pPr>
      <w:r>
        <w:rPr>
          <w:rFonts w:eastAsia="PalatinoLinotype" w:ascii="Times New Roman" w:hAnsi="Times New Roman"/>
          <w:sz w:val="24"/>
          <w:szCs w:val="24"/>
        </w:rPr>
        <w:t xml:space="preserve">6.1.8. </w:t>
      </w:r>
      <w:r>
        <w:rPr>
          <w:rFonts w:ascii="Times New Roman" w:hAnsi="Times New Roman"/>
          <w:sz w:val="24"/>
          <w:szCs w:val="24"/>
        </w:rPr>
        <w:t xml:space="preserve">Copeira – </w:t>
      </w:r>
      <w:r>
        <w:rPr>
          <w:rFonts w:ascii="Times New Roman" w:hAnsi="Times New Roman"/>
          <w:sz w:val="24"/>
          <w:szCs w:val="24"/>
          <w:u w:val="single"/>
        </w:rPr>
        <w:t>mensalmente:</w:t>
      </w:r>
    </w:p>
    <w:p>
      <w:pPr>
        <w:pStyle w:val="Normal"/>
        <w:tabs>
          <w:tab w:val="left" w:pos="0" w:leader="none"/>
        </w:tabs>
        <w:ind w:left="708" w:hanging="0"/>
        <w:rPr>
          <w:rFonts w:ascii="Times New Roman" w:hAnsi="Times New Roman"/>
          <w:sz w:val="24"/>
          <w:szCs w:val="24"/>
        </w:rPr>
      </w:pPr>
      <w:r>
        <w:rPr>
          <w:rFonts w:ascii="Times New Roman" w:hAnsi="Times New Roman"/>
          <w:sz w:val="24"/>
          <w:szCs w:val="24"/>
        </w:rPr>
      </w:r>
    </w:p>
    <w:tbl>
      <w:tblPr>
        <w:tblW w:w="9195" w:type="dxa"/>
        <w:jc w:val="left"/>
        <w:tblInd w:w="-58" w:type="dxa"/>
        <w:tblBorders/>
        <w:tblCellMar>
          <w:top w:w="0" w:type="dxa"/>
          <w:left w:w="70" w:type="dxa"/>
          <w:bottom w:w="0" w:type="dxa"/>
          <w:right w:w="70" w:type="dxa"/>
        </w:tblCellMar>
        <w:tblLook w:firstRow="0" w:noVBand="0" w:lastRow="0" w:firstColumn="0" w:lastColumn="0" w:noHBand="0" w:val="0000"/>
      </w:tblPr>
      <w:tblGrid>
        <w:gridCol w:w="1302"/>
        <w:gridCol w:w="7892"/>
      </w:tblGrid>
      <w:tr>
        <w:trPr/>
        <w:tc>
          <w:tcPr>
            <w:tcW w:w="1302" w:type="dxa"/>
            <w:tcBorders/>
            <w:shd w:fill="auto" w:val="clear"/>
          </w:tcPr>
          <w:p>
            <w:pPr>
              <w:pStyle w:val="Normal"/>
              <w:numPr>
                <w:ilvl w:val="0"/>
                <w:numId w:val="15"/>
              </w:numPr>
              <w:tabs>
                <w:tab w:val="left" w:pos="0" w:leader="none"/>
              </w:tabs>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Realizar a limpeza geral nos armários, com a retirada de todos utensílios para limpeza interna, utilizando pano e produtos adequados;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5"/>
              </w:numPr>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Descongelar a geladeira, 01 (uma) vez ao mês, ou se necessário antes caso haja muito gelo. A parte interna do refrigerador deverá ser limpa 02 (duas) vezes por semana;</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5"/>
              </w:numPr>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 xml:space="preserve">Deverão ser utilizados produtos inodoros ou de odor agradável e suave. </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302" w:type="dxa"/>
            <w:tcBorders/>
            <w:shd w:fill="auto" w:val="clear"/>
          </w:tcPr>
          <w:p>
            <w:pPr>
              <w:pStyle w:val="Normal"/>
              <w:numPr>
                <w:ilvl w:val="0"/>
                <w:numId w:val="15"/>
              </w:numPr>
              <w:rPr>
                <w:rFonts w:ascii="Times New Roman" w:hAnsi="Times New Roman"/>
                <w:sz w:val="24"/>
                <w:szCs w:val="24"/>
              </w:rPr>
            </w:pPr>
            <w:r>
              <w:rPr>
                <w:rFonts w:ascii="Times New Roman" w:hAnsi="Times New Roman"/>
                <w:sz w:val="24"/>
                <w:szCs w:val="24"/>
              </w:rPr>
            </w:r>
          </w:p>
        </w:tc>
        <w:tc>
          <w:tcPr>
            <w:tcW w:w="7892"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Executar outras atividades consideradas necessárias ao exercício da função mensal.</w:t>
            </w:r>
          </w:p>
          <w:p>
            <w:pPr>
              <w:pStyle w:val="Normal"/>
              <w:tabs>
                <w:tab w:val="left" w:pos="0" w:leader="none"/>
              </w:tabs>
              <w:rPr>
                <w:rFonts w:ascii="Times New Roman" w:hAnsi="Times New Roman"/>
                <w:sz w:val="24"/>
                <w:szCs w:val="24"/>
              </w:rPr>
            </w:pPr>
            <w:r>
              <w:rPr>
                <w:rFonts w:ascii="Times New Roman" w:hAnsi="Times New Roman"/>
                <w:sz w:val="24"/>
                <w:szCs w:val="24"/>
              </w:rPr>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eastAsia="PalatinoLinotype"/>
        </w:rPr>
      </w:pPr>
      <w:r>
        <w:rPr>
          <w:rFonts w:eastAsia="PalatinoLinotype"/>
        </w:rPr>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pPr>
      <w:r>
        <w:rPr>
          <w:rFonts w:eastAsia="PalatinoLinotype" w:ascii="Times New Roman" w:hAnsi="Times New Roman"/>
          <w:sz w:val="24"/>
          <w:szCs w:val="24"/>
        </w:rPr>
        <w:tab/>
        <w:t>6.1.16. Preposto:</w:t>
      </w:r>
    </w:p>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firstLine="142"/>
        <w:rPr>
          <w:rFonts w:ascii="Times New Roman" w:hAnsi="Times New Roman" w:eastAsia="PalatinoLinotype"/>
          <w:sz w:val="24"/>
          <w:szCs w:val="24"/>
        </w:rPr>
      </w:pPr>
      <w:r>
        <w:rPr>
          <w:rFonts w:eastAsia="PalatinoLinotype" w:ascii="Times New Roman" w:hAnsi="Times New Roman"/>
          <w:sz w:val="24"/>
          <w:szCs w:val="24"/>
        </w:rPr>
      </w:r>
    </w:p>
    <w:p>
      <w:pPr>
        <w:pStyle w:val="Normal"/>
        <w:widowContro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bidi w:val="0"/>
        <w:spacing w:lineRule="auto" w:line="360"/>
        <w:ind w:left="-57" w:right="0" w:hanging="0"/>
        <w:jc w:val="both"/>
        <w:rPr/>
      </w:pPr>
      <w:r>
        <w:rPr>
          <w:rFonts w:eastAsia="PalatinoLinotype" w:ascii="Times New Roman" w:hAnsi="Times New Roman"/>
          <w:sz w:val="24"/>
          <w:szCs w:val="24"/>
        </w:rPr>
        <w:tab/>
        <w:tab/>
        <w:t>6.1.16.1 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pPr>
        <w:pStyle w:val="Normal"/>
        <w:tabs>
          <w:tab w:val="left" w:pos="0" w:leader="none"/>
        </w:tabs>
        <w:ind w:firstLine="993"/>
        <w:rPr>
          <w:rFonts w:ascii="Times New Roman" w:hAnsi="Times New Roman"/>
          <w:sz w:val="24"/>
          <w:szCs w:val="24"/>
        </w:rPr>
      </w:pPr>
      <w:r>
        <w:rPr>
          <w:rFonts w:ascii="Times New Roman" w:hAnsi="Times New Roman"/>
          <w:sz w:val="24"/>
          <w:szCs w:val="24"/>
        </w:rPr>
      </w:r>
    </w:p>
    <w:tbl>
      <w:tblPr>
        <w:tblW w:w="9354" w:type="dxa"/>
        <w:jc w:val="left"/>
        <w:tblInd w:w="2" w:type="dxa"/>
        <w:tblBorders/>
        <w:tblCellMar>
          <w:top w:w="0" w:type="dxa"/>
          <w:left w:w="70" w:type="dxa"/>
          <w:bottom w:w="0" w:type="dxa"/>
          <w:right w:w="70" w:type="dxa"/>
        </w:tblCellMar>
        <w:tblLook w:firstRow="0" w:noVBand="0" w:lastRow="0" w:firstColumn="0" w:lastColumn="0" w:noHBand="0" w:val="0000"/>
      </w:tblPr>
      <w:tblGrid>
        <w:gridCol w:w="1129"/>
        <w:gridCol w:w="8224"/>
      </w:tblGrid>
      <w:tr>
        <w:trPr/>
        <w:tc>
          <w:tcPr>
            <w:tcW w:w="1129" w:type="dxa"/>
            <w:tcBorders/>
            <w:shd w:fill="auto" w:val="clear"/>
          </w:tcPr>
          <w:p>
            <w:pPr>
              <w:pStyle w:val="Normal"/>
              <w:rPr>
                <w:rFonts w:ascii="Times New Roman" w:hAnsi="Times New Roman"/>
                <w:sz w:val="24"/>
                <w:szCs w:val="24"/>
              </w:rPr>
            </w:pPr>
            <w:r>
              <w:rPr>
                <w:rFonts w:ascii="Times New Roman" w:hAnsi="Times New Roman"/>
                <w:sz w:val="24"/>
                <w:szCs w:val="24"/>
              </w:rPr>
              <w:t>6.1.16.2</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Comandar, coordenar e controlar a execução dos serviços contratados;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rFonts w:ascii="Times New Roman" w:hAnsi="Times New Roman"/>
                <w:sz w:val="24"/>
                <w:szCs w:val="24"/>
              </w:rPr>
            </w:pPr>
            <w:r>
              <w:rPr>
                <w:rFonts w:ascii="Times New Roman" w:hAnsi="Times New Roman"/>
                <w:sz w:val="24"/>
                <w:szCs w:val="24"/>
              </w:rPr>
              <w:t>6.1.16.3</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Encaminhar à unidade fiscalizadora todas as faturas dos serviços prestados;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rFonts w:ascii="Times New Roman" w:hAnsi="Times New Roman"/>
                <w:sz w:val="24"/>
                <w:szCs w:val="24"/>
              </w:rPr>
            </w:pPr>
            <w:r>
              <w:rPr>
                <w:rFonts w:ascii="Times New Roman" w:hAnsi="Times New Roman"/>
                <w:sz w:val="24"/>
                <w:szCs w:val="24"/>
              </w:rPr>
              <w:t>6.1.16.4</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Administrar todo e qualquer assunto relativo aos seus empregados;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rFonts w:ascii="Times New Roman" w:hAnsi="Times New Roman"/>
                <w:sz w:val="24"/>
                <w:szCs w:val="24"/>
              </w:rPr>
            </w:pPr>
            <w:r>
              <w:rPr>
                <w:rFonts w:ascii="Times New Roman" w:hAnsi="Times New Roman"/>
                <w:sz w:val="24"/>
                <w:szCs w:val="24"/>
              </w:rPr>
              <w:t>6.1.16.5</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Tratar de questões administrativas com o encarregado geral;</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rFonts w:ascii="Times New Roman" w:hAnsi="Times New Roman"/>
                <w:sz w:val="24"/>
                <w:szCs w:val="24"/>
              </w:rPr>
            </w:pPr>
            <w:r>
              <w:rPr>
                <w:rFonts w:ascii="Times New Roman" w:hAnsi="Times New Roman"/>
                <w:sz w:val="24"/>
                <w:szCs w:val="24"/>
              </w:rPr>
              <w:t>6.1.16.6</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Representar a Contratante nos casos necessários, junto à fiscalização do CONTRATO;</w:t>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rPr/>
      </w:pPr>
      <w:r>
        <w:rPr>
          <w:rFonts w:eastAsia="PalatinoLinotype" w:ascii="Times New Roman" w:hAnsi="Times New Roman"/>
          <w:sz w:val="24"/>
          <w:szCs w:val="24"/>
        </w:rPr>
        <w:t>6.2.</w:t>
        <w:tab/>
        <w:t>Capacitação dos prestadores de serviço:</w:t>
      </w:r>
    </w:p>
    <w:p>
      <w:pPr>
        <w:pStyle w:val="Normal"/>
        <w:widowControl/>
        <w:bidi w:val="0"/>
        <w:spacing w:lineRule="auto" w:line="360" w:before="100" w:after="0"/>
        <w:ind w:left="0" w:right="0" w:firstLine="454"/>
        <w:jc w:val="both"/>
        <w:rPr/>
      </w:pPr>
      <w:r>
        <w:rPr>
          <w:rFonts w:ascii="Times New Roman" w:hAnsi="Times New Roman"/>
          <w:sz w:val="24"/>
          <w:szCs w:val="24"/>
        </w:rPr>
        <w:t>6.2.1 Os empregados do licitante vencedor que prestarão serviços na CODEVASF deverão possuir a capacitação oferecida pela empresa ou outra instituição credenciada, cuja comprovação deverá ser apresentada à fiscalização até 03 (três) meses a contar da data do início da execução do contrato, bem como de cada eventual prorrogação contratual.</w:t>
      </w:r>
    </w:p>
    <w:p>
      <w:pPr>
        <w:pStyle w:val="Normal"/>
        <w:rPr/>
      </w:pPr>
      <w:r>
        <w:rPr>
          <w:rFonts w:eastAsia="PalatinoLinotype" w:ascii="Times New Roman" w:hAnsi="Times New Roman"/>
          <w:sz w:val="24"/>
          <w:szCs w:val="24"/>
        </w:rPr>
        <w:t>6.3. Jornada de trabalho: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ab/>
        <w:t>6.3.1</w:t>
        <w:tab/>
        <w:t>Os serviços serão prestados no horário compreendido no quadro abaixo: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Tabela 4 – Horário de prestação de serviços para equipe de limpeza e copeira.</w:t>
      </w:r>
    </w:p>
    <w:tbl>
      <w:tblPr>
        <w:tblW w:w="9240" w:type="dxa"/>
        <w:jc w:val="left"/>
        <w:tblInd w:w="32"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3689"/>
        <w:gridCol w:w="5550"/>
      </w:tblGrid>
      <w:tr>
        <w:trPr/>
        <w:tc>
          <w:tcPr>
            <w:tcW w:w="3689"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55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Horário de prestação do serviço</w:t>
            </w:r>
          </w:p>
        </w:tc>
      </w:tr>
      <w:tr>
        <w:trPr>
          <w:trHeight w:val="731" w:hRule="atLeast"/>
        </w:trPr>
        <w:tc>
          <w:tcPr>
            <w:tcW w:w="3689"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7ªSR</w:t>
            </w:r>
          </w:p>
          <w:p>
            <w:pPr>
              <w:pStyle w:val="Contedodetabela"/>
              <w:snapToGrid w:val="false"/>
              <w:rPr/>
            </w:pPr>
            <w:r>
              <w:rPr>
                <w:rFonts w:cs="Times New Roman"/>
                <w:b w:val="false"/>
                <w:bCs w:val="false"/>
                <w:sz w:val="24"/>
                <w:szCs w:val="24"/>
              </w:rPr>
              <w:t>(Limpeza e Copeira)</w:t>
            </w:r>
          </w:p>
        </w:tc>
        <w:tc>
          <w:tcPr>
            <w:tcW w:w="55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u w:val="single"/>
              </w:rPr>
              <w:t xml:space="preserve">LIMPEZA: </w:t>
            </w:r>
            <w:r>
              <w:rPr>
                <w:rFonts w:cs="Times New Roman"/>
                <w:sz w:val="24"/>
                <w:szCs w:val="24"/>
              </w:rPr>
              <w:t>Segunda a sexta-feira de 07:00 às 13:00 e de 15:00 às 17:00.</w:t>
            </w:r>
          </w:p>
          <w:p>
            <w:pPr>
              <w:pStyle w:val="Contedodetabela"/>
              <w:snapToGrid w:val="false"/>
              <w:rPr/>
            </w:pPr>
            <w:r>
              <w:rPr>
                <w:rFonts w:cs="Times New Roman"/>
                <w:sz w:val="24"/>
                <w:szCs w:val="24"/>
              </w:rPr>
              <w:t>Sábado de 07:00 às 11:00.</w:t>
            </w:r>
          </w:p>
          <w:p>
            <w:pPr>
              <w:pStyle w:val="Contedodetabela"/>
              <w:snapToGrid w:val="false"/>
              <w:rPr>
                <w:rFonts w:ascii="Times New Roman" w:hAnsi="Times New Roman" w:cs="Times New Roman"/>
                <w:sz w:val="24"/>
                <w:szCs w:val="24"/>
              </w:rPr>
            </w:pPr>
            <w:r>
              <w:rPr>
                <w:rFonts w:cs="Times New Roman"/>
                <w:sz w:val="24"/>
                <w:szCs w:val="24"/>
              </w:rPr>
            </w:r>
          </w:p>
          <w:p>
            <w:pPr>
              <w:pStyle w:val="Contedodetabela"/>
              <w:snapToGrid w:val="false"/>
              <w:rPr/>
            </w:pPr>
            <w:r>
              <w:rPr>
                <w:rFonts w:cs="Times New Roman"/>
                <w:sz w:val="24"/>
                <w:szCs w:val="24"/>
                <w:u w:val="single"/>
              </w:rPr>
              <w:t xml:space="preserve">COPEIRA: </w:t>
            </w:r>
            <w:r>
              <w:rPr>
                <w:rFonts w:cs="Times New Roman"/>
                <w:sz w:val="24"/>
                <w:szCs w:val="24"/>
              </w:rPr>
              <w:t>Segunda a quinta-feira de 07:00 às 12:00 e de 13:30 às 17:30.</w:t>
            </w:r>
          </w:p>
          <w:p>
            <w:pPr>
              <w:pStyle w:val="Contedodetabela"/>
              <w:snapToGrid w:val="false"/>
              <w:rPr/>
            </w:pPr>
            <w:r>
              <w:rPr>
                <w:rFonts w:cs="Times New Roman"/>
                <w:sz w:val="24"/>
                <w:szCs w:val="24"/>
              </w:rPr>
              <w:t>Sexta-feira de 08:00 às 12:00 e de 13:30 às 17:30.</w:t>
            </w:r>
          </w:p>
          <w:p>
            <w:pPr>
              <w:pStyle w:val="Contedodetabela"/>
              <w:snapToGrid w:val="false"/>
              <w:rPr>
                <w:rFonts w:ascii="Times New Roman" w:hAnsi="Times New Roman" w:cs="Times New Roman"/>
                <w:sz w:val="24"/>
                <w:szCs w:val="24"/>
              </w:rPr>
            </w:pPr>
            <w:r>
              <w:rPr>
                <w:rFonts w:cs="Times New Roman"/>
                <w:sz w:val="24"/>
                <w:szCs w:val="24"/>
              </w:rPr>
            </w:r>
          </w:p>
        </w:tc>
      </w:tr>
      <w:tr>
        <w:trPr>
          <w:trHeight w:val="682" w:hRule="atLeast"/>
        </w:trPr>
        <w:tc>
          <w:tcPr>
            <w:tcW w:w="3689"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7ªEOE</w:t>
            </w:r>
          </w:p>
        </w:tc>
        <w:tc>
          <w:tcPr>
            <w:tcW w:w="55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Segunda a quinta-feira de 08:00 às 12:00.</w:t>
            </w:r>
          </w:p>
          <w:p>
            <w:pPr>
              <w:pStyle w:val="Contedodetabela"/>
              <w:snapToGrid w:val="false"/>
              <w:rPr>
                <w:rFonts w:ascii="Times New Roman" w:hAnsi="Times New Roman" w:cs="Times New Roman"/>
                <w:sz w:val="24"/>
                <w:szCs w:val="24"/>
              </w:rPr>
            </w:pPr>
            <w:r>
              <w:rPr>
                <w:rFonts w:cs="Times New Roman"/>
                <w:sz w:val="24"/>
                <w:szCs w:val="24"/>
              </w:rPr>
            </w:r>
          </w:p>
        </w:tc>
      </w:tr>
      <w:tr>
        <w:trPr>
          <w:trHeight w:val="812" w:hRule="atLeast"/>
        </w:trPr>
        <w:tc>
          <w:tcPr>
            <w:tcW w:w="3689"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7ªEPA</w:t>
            </w:r>
          </w:p>
        </w:tc>
        <w:tc>
          <w:tcPr>
            <w:tcW w:w="55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Segunda a Sexta-feira de 08:00 às 12:00.</w:t>
            </w:r>
          </w:p>
        </w:tc>
      </w:tr>
    </w:tbl>
    <w:p>
      <w:pPr>
        <w:pStyle w:val="NormalWeb"/>
        <w:numPr>
          <w:ilvl w:val="0"/>
          <w:numId w:val="0"/>
        </w:numPr>
        <w:shd w:val="clear" w:color="auto" w:fill="FFFFFF"/>
        <w:tabs>
          <w:tab w:val="left" w:pos="0" w:leader="none"/>
        </w:tabs>
        <w:spacing w:lineRule="auto" w:line="360" w:beforeAutospacing="0" w:before="0" w:afterAutospacing="0" w:after="0"/>
        <w:ind w:left="720" w:hanging="0"/>
        <w:jc w:val="both"/>
        <w:rPr>
          <w:rFonts w:ascii="Times New Roman" w:hAnsi="Times New Roman" w:cs="Arial"/>
          <w:color w:val="000000"/>
          <w:sz w:val="24"/>
          <w:szCs w:val="24"/>
        </w:rPr>
      </w:pPr>
      <w:r>
        <w:rPr>
          <w:rFonts w:cs="Arial"/>
          <w:color w:val="000000"/>
          <w:sz w:val="24"/>
          <w:szCs w:val="24"/>
        </w:rPr>
      </w:r>
    </w:p>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6.3.2 Caso o horário de expediente do Órgão seja alterado por determinação legal ou imposição de circunstâncias supervenientes, deverá ser promovida adequação nos horários da prestação de serviços para atendimento da nova situação.</w:t>
      </w:r>
    </w:p>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6.3.3 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pPr>
        <w:pStyle w:val="Qowtli42"/>
        <w:shd w:val="clear" w:color="auto" w:fill="FFFFFF"/>
        <w:tabs>
          <w:tab w:val="left" w:pos="0" w:leader="none"/>
        </w:tabs>
        <w:spacing w:lineRule="auto" w:line="360" w:beforeAutospacing="0" w:before="0" w:afterAutospacing="0" w:after="0"/>
        <w:jc w:val="both"/>
        <w:rPr/>
      </w:pPr>
      <w:r>
        <w:rPr>
          <w:rFonts w:cs="Arial"/>
          <w:color w:val="000000"/>
          <w:sz w:val="24"/>
          <w:szCs w:val="24"/>
        </w:rPr>
        <w:t>6.3.4 O controle da jornada de trabalho nas dependências da Contratante deverá ser efetuado por meio de sistema de controle de jornada de trabalho, a definir pela contratada.</w:t>
      </w:r>
    </w:p>
    <w:p>
      <w:pPr>
        <w:pStyle w:val="Normal"/>
        <w:rPr/>
      </w:pPr>
      <w:r>
        <w:rPr>
          <w:rFonts w:eastAsia="PalatinoLinotype" w:ascii="Times New Roman" w:hAnsi="Times New Roman"/>
          <w:sz w:val="24"/>
          <w:szCs w:val="24"/>
        </w:rPr>
        <w:t>6.4. Local de execução dos serviços:</w:t>
      </w:r>
    </w:p>
    <w:p>
      <w:pPr>
        <w:pStyle w:val="Normal"/>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rPr/>
      </w:pPr>
      <w:r>
        <w:rPr>
          <w:rFonts w:ascii="Times New Roman" w:hAnsi="Times New Roman"/>
          <w:sz w:val="24"/>
          <w:szCs w:val="24"/>
        </w:rPr>
        <w:tab/>
        <w:t>6.4.1 Os serviços de limpeza, conservação e higienização abrangerão as instalações da 7ª Superintendência Regional da CODEVASF, localizada na cidade de Teresina – PI, e os escritórios de apoio técnico, localizados em Parnaíba e Oeiras, conforme endereço especificado abaixo:</w:t>
      </w:r>
    </w:p>
    <w:p>
      <w:pPr>
        <w:pStyle w:val="Normal"/>
        <w:spacing w:lineRule="auto" w:line="360"/>
        <w:rPr/>
      </w:pPr>
      <w:r>
        <w:rPr>
          <w:rFonts w:ascii="Times New Roman" w:hAnsi="Times New Roman"/>
          <w:sz w:val="24"/>
          <w:szCs w:val="24"/>
        </w:rPr>
        <w:t>Tabela 4 – Local de prestação de serviços para equipe de limpeza e copeira.</w:t>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Pr>
      <w:tblGrid>
        <w:gridCol w:w="1755"/>
        <w:gridCol w:w="6507"/>
      </w:tblGrid>
      <w:tr>
        <w:trPr/>
        <w:tc>
          <w:tcPr>
            <w:tcW w:w="1755"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Endereço</w:t>
            </w:r>
          </w:p>
        </w:tc>
      </w:tr>
      <w:tr>
        <w:trPr>
          <w:trHeight w:val="731" w:hRule="atLeast"/>
        </w:trPr>
        <w:tc>
          <w:tcPr>
            <w:tcW w:w="1755"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7ªSR</w:t>
            </w:r>
          </w:p>
          <w:p>
            <w:pPr>
              <w:pStyle w:val="Contedodetabela"/>
              <w:snapToGrid w:val="false"/>
              <w:rPr/>
            </w:pPr>
            <w:r>
              <w:rPr>
                <w:rFonts w:cs="Times New Roman"/>
                <w:b w:val="false"/>
                <w:bCs w:val="false"/>
                <w:sz w:val="24"/>
                <w:szCs w:val="24"/>
              </w:rPr>
              <w:t>(Limpeza e Copeira)</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Avenida Maranhão nº 1022, Centro – Teresina-PI</w:t>
            </w:r>
          </w:p>
        </w:tc>
      </w:tr>
      <w:tr>
        <w:trPr/>
        <w:tc>
          <w:tcPr>
            <w:tcW w:w="1755"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7ªEOE</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Rua André Holanda n° 368/A – Centro. Oeiras/PI.</w:t>
            </w:r>
          </w:p>
          <w:p>
            <w:pPr>
              <w:pStyle w:val="Contedodetabela"/>
              <w:snapToGrid w:val="false"/>
              <w:rPr>
                <w:rFonts w:ascii="Times New Roman" w:hAnsi="Times New Roman" w:cs="Times New Roman"/>
                <w:sz w:val="24"/>
                <w:szCs w:val="24"/>
              </w:rPr>
            </w:pPr>
            <w:r>
              <w:rPr>
                <w:rFonts w:cs="Times New Roman"/>
                <w:sz w:val="24"/>
                <w:szCs w:val="24"/>
              </w:rPr>
            </w:r>
          </w:p>
        </w:tc>
      </w:tr>
      <w:tr>
        <w:trPr>
          <w:trHeight w:val="812" w:hRule="atLeast"/>
        </w:trPr>
        <w:tc>
          <w:tcPr>
            <w:tcW w:w="1755"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7ªEPA</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Rua Tabajara nº 1557, bairro Nossa Senhora de Fátima. Parnaíba-PI. CEP:64.202-210</w:t>
            </w:r>
          </w:p>
        </w:tc>
      </w:tr>
    </w:tbl>
    <w:p>
      <w:pPr>
        <w:pStyle w:val="Normal"/>
        <w:tabs>
          <w:tab w:val="left" w:pos="0" w:leader="none"/>
        </w:tabs>
        <w:spacing w:before="0" w:after="126"/>
        <w:rPr>
          <w:rFonts w:ascii="Times New Roman" w:hAnsi="Times New Roman"/>
          <w:sz w:val="24"/>
          <w:szCs w:val="24"/>
        </w:rPr>
      </w:pPr>
      <w:r>
        <w:rPr>
          <w:rFonts w:ascii="Times New Roman" w:hAnsi="Times New Roman"/>
          <w:sz w:val="24"/>
          <w:szCs w:val="24"/>
        </w:rPr>
      </w:r>
    </w:p>
    <w:p>
      <w:pPr>
        <w:pStyle w:val="Normal"/>
        <w:tabs>
          <w:tab w:val="left" w:pos="690" w:leader="none"/>
        </w:tabs>
        <w:spacing w:lineRule="auto" w:line="360" w:before="0" w:after="126"/>
        <w:rPr/>
      </w:pPr>
      <w:r>
        <w:rPr>
          <w:rFonts w:ascii="Times New Roman" w:hAnsi="Times New Roman"/>
          <w:sz w:val="24"/>
          <w:szCs w:val="24"/>
        </w:rPr>
        <w:tab/>
        <w:t xml:space="preserve">6.4.2 O transporte de empregados e de materiais de higiene e limpeza para os locais acima descritos são de responsabilidade do licitante vencedor. </w:t>
      </w:r>
    </w:p>
    <w:p>
      <w:pPr>
        <w:pStyle w:val="Normal"/>
        <w:spacing w:lineRule="auto" w:line="360"/>
        <w:rPr>
          <w:rFonts w:ascii="Times New Roman" w:hAnsi="Times New Roman"/>
          <w:sz w:val="24"/>
          <w:szCs w:val="24"/>
        </w:rPr>
      </w:pPr>
      <w:r>
        <w:rPr>
          <w:rFonts w:ascii="Times New Roman" w:hAnsi="Times New Roman"/>
          <w:sz w:val="24"/>
          <w:szCs w:val="24"/>
        </w:rPr>
        <w:t xml:space="preserve">7. QUALIFICAÇÃO TÉCNICA </w:t>
      </w:r>
    </w:p>
    <w:p>
      <w:pPr>
        <w:pStyle w:val="Normal"/>
        <w:spacing w:lineRule="auto" w:line="360"/>
        <w:rPr>
          <w:rFonts w:ascii="Times New Roman" w:hAnsi="Times New Roman"/>
          <w:sz w:val="24"/>
          <w:szCs w:val="24"/>
        </w:rPr>
      </w:pPr>
      <w:r>
        <w:rPr>
          <w:rFonts w:ascii="Times New Roman" w:hAnsi="Times New Roman"/>
          <w:sz w:val="24"/>
          <w:szCs w:val="24"/>
          <w:shd w:fill="FFFFFF" w:val="clear"/>
        </w:rPr>
        <w:t xml:space="preserve">7.1. Atestado (s) </w:t>
      </w:r>
      <w:r>
        <w:rPr>
          <w:rFonts w:ascii="Times New Roman" w:hAnsi="Times New Roman"/>
          <w:sz w:val="24"/>
          <w:szCs w:val="24"/>
        </w:rPr>
        <w:t>de capacidade técnica em nome do licitante, expedido por pessoa jurídica de direito público ou privado, devidamente registrado na entidade profissional competente,</w:t>
      </w:r>
      <w:r>
        <w:rPr>
          <w:rFonts w:ascii="Times New Roman" w:hAnsi="Times New Roman"/>
          <w:sz w:val="24"/>
          <w:szCs w:val="24"/>
          <w:shd w:fill="FDFDFD" w:val="clear"/>
        </w:rPr>
        <w:t> comprovando que o licitante executou serviços similares aos do objeto desta licitação.</w:t>
      </w:r>
    </w:p>
    <w:p>
      <w:pPr>
        <w:pStyle w:val="Normal"/>
        <w:spacing w:lineRule="auto" w:line="360"/>
        <w:rPr>
          <w:rFonts w:ascii="Times New Roman" w:hAnsi="Times New Roman"/>
          <w:sz w:val="24"/>
          <w:szCs w:val="24"/>
        </w:rPr>
      </w:pPr>
      <w:r>
        <w:rPr>
          <w:rFonts w:ascii="Times New Roman" w:hAnsi="Times New Roman"/>
          <w:sz w:val="24"/>
          <w:szCs w:val="24"/>
        </w:rPr>
        <w:t>7.3 A comprovação requerida para serviços similares poderá ser apresentada por meio de um ou mais Atestados de Capacidade Técnica.</w:t>
      </w:r>
    </w:p>
    <w:p>
      <w:pPr>
        <w:pStyle w:val="Normal"/>
        <w:spacing w:lineRule="auto" w:line="360"/>
        <w:rPr>
          <w:highlight w:val="white"/>
        </w:rPr>
      </w:pPr>
      <w:r>
        <w:rPr>
          <w:rFonts w:ascii="Times New Roman" w:hAnsi="Times New Roman"/>
          <w:sz w:val="24"/>
          <w:szCs w:val="24"/>
        </w:rPr>
        <w:t>7.4 Comprovar a execução de serviços de limpeza e conservação por um período mínimo de 03 (três) anos. Para a comprovação da experiência mínima de 03 (três) anos será a</w:t>
      </w:r>
      <w:r>
        <w:rPr>
          <w:rFonts w:ascii="Times New Roman" w:hAnsi="Times New Roman"/>
          <w:sz w:val="24"/>
          <w:szCs w:val="24"/>
          <w:shd w:fill="FFFFFF" w:val="clear"/>
        </w:rPr>
        <w:t>ceito o somatório de atestados, sendo que os mesmos deverão contemplar execuções em períodos distintos, períodos concomitantes serão computados uma única vez.</w:t>
      </w:r>
    </w:p>
    <w:p>
      <w:pPr>
        <w:pStyle w:val="Normal"/>
        <w:spacing w:lineRule="auto" w:line="360"/>
        <w:rPr>
          <w:rFonts w:ascii="Times New Roman" w:hAnsi="Times New Roman"/>
          <w:sz w:val="24"/>
          <w:szCs w:val="24"/>
        </w:rPr>
      </w:pPr>
      <w:r>
        <w:rPr>
          <w:rFonts w:ascii="Times New Roman" w:hAnsi="Times New Roman"/>
          <w:sz w:val="24"/>
          <w:szCs w:val="24"/>
        </w:rPr>
        <w:tab/>
        <w:t>7.4.1.</w:t>
        <w:tab/>
        <w:t>Para a comprovação da experiência mínima de 3 (três) anos, será aceito o somatório de atestados de períodos diferentes, não havendo obrigatoriedade de os três anos serem ininterruptos.</w:t>
      </w:r>
    </w:p>
    <w:p>
      <w:pPr>
        <w:pStyle w:val="Normal"/>
        <w:spacing w:lineRule="auto" w:line="360"/>
        <w:rPr/>
      </w:pPr>
      <w:r>
        <w:rPr>
          <w:rFonts w:ascii="Times New Roman" w:hAnsi="Times New Roman"/>
          <w:sz w:val="24"/>
          <w:szCs w:val="24"/>
        </w:rPr>
        <w:t>7.4.2 O licitante deve disponibilizar todas as informações necessárias à comprovação da legitimidade dos atestados solicitados, apresentando, dentre outros document</w:t>
      </w:r>
      <w:r>
        <w:rPr>
          <w:rFonts w:ascii="Times New Roman" w:hAnsi="Times New Roman"/>
          <w:sz w:val="24"/>
          <w:szCs w:val="24"/>
          <w:shd w:fill="FFFFFF" w:val="clear"/>
        </w:rPr>
        <w:t>os, cópia do contrato que deu suporte à contratação, endereço atual da Contratante e </w:t>
      </w:r>
      <w:r>
        <w:rPr>
          <w:rFonts w:ascii="Times New Roman" w:hAnsi="Times New Roman"/>
          <w:sz w:val="24"/>
          <w:szCs w:val="24"/>
        </w:rPr>
        <w:t xml:space="preserve"> local em que foram prestados os serviços.</w:t>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rPr/>
      </w:pPr>
      <w:r>
        <w:rPr>
          <w:rFonts w:eastAsia="PalatinoLinotype" w:ascii="Times New Roman" w:hAnsi="Times New Roman"/>
          <w:sz w:val="24"/>
          <w:szCs w:val="24"/>
        </w:rPr>
        <w:t xml:space="preserve">8. </w:t>
      </w:r>
      <w:r>
        <w:rPr>
          <w:rFonts w:eastAsia="PalatinoLinotype" w:ascii="Times New Roman" w:hAnsi="Times New Roman"/>
          <w:color w:val="000000" w:themeColor="text1"/>
          <w:sz w:val="24"/>
          <w:szCs w:val="24"/>
        </w:rPr>
        <w:t>INFORMAÇÕES RELEVANTES PARA O DIMENSIONAMENTO DA PROPOSTA</w:t>
      </w:r>
      <w:r>
        <w:rPr>
          <w:rFonts w:eastAsia="PalatinoLinotype" w:ascii="Times New Roman" w:hAnsi="Times New Roman"/>
          <w:color w:val="000000" w:themeColor="text1"/>
          <w:sz w:val="23"/>
          <w:szCs w:val="23"/>
        </w:rPr>
        <w:t>:</w:t>
      </w:r>
    </w:p>
    <w:p>
      <w:pPr>
        <w:pStyle w:val="Normal"/>
        <w:tabs>
          <w:tab w:val="left" w:pos="0" w:leader="none"/>
        </w:tabs>
        <w:spacing w:lineRule="auto" w:line="360" w:before="100" w:after="0"/>
        <w:rPr/>
      </w:pPr>
      <w:r>
        <w:rPr>
          <w:rFonts w:eastAsia="PalatinoLinotype" w:ascii="Times New Roman" w:hAnsi="Times New Roman"/>
          <w:sz w:val="24"/>
          <w:szCs w:val="24"/>
        </w:rPr>
        <w:t>8.1. A demanda do órgão tem como base as seguintes características:</w:t>
      </w:r>
    </w:p>
    <w:p>
      <w:pPr>
        <w:pStyle w:val="Normal"/>
        <w:tabs>
          <w:tab w:val="left" w:pos="0" w:leader="none"/>
        </w:tabs>
        <w:spacing w:lineRule="auto" w:line="360" w:before="100" w:after="0"/>
        <w:rPr/>
      </w:pPr>
      <w:r>
        <w:rPr>
          <w:rFonts w:eastAsia="PalatinoLinotype" w:ascii="Times New Roman" w:hAnsi="Times New Roman"/>
          <w:sz w:val="24"/>
          <w:szCs w:val="24"/>
        </w:rPr>
        <w:t>Tabela 6 – Área do prédio da sede da 7ªSuperintendência Regional:</w:t>
      </w:r>
    </w:p>
    <w:tbl>
      <w:tblPr>
        <w:tblW w:w="907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0" w:noVBand="0" w:lastRow="0" w:firstColumn="0" w:lastColumn="0" w:noHBand="0" w:val="0000"/>
      </w:tblPr>
      <w:tblGrid>
        <w:gridCol w:w="4484"/>
        <w:gridCol w:w="4590"/>
      </w:tblGrid>
      <w:tr>
        <w:trPr>
          <w:trHeight w:val="330" w:hRule="atLeast"/>
        </w:trPr>
        <w:tc>
          <w:tcPr>
            <w:tcW w:w="4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Tipo de área</w:t>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Metragem/Quantidade</w:t>
            </w:r>
          </w:p>
        </w:tc>
      </w:tr>
      <w:tr>
        <w:trPr/>
        <w:tc>
          <w:tcPr>
            <w:tcW w:w="448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Interna</w:t>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ind w:hanging="0"/>
              <w:rPr>
                <w:rFonts w:ascii="Times New Roman" w:hAnsi="Times New Roman"/>
                <w:b w:val="false"/>
                <w:b w:val="false"/>
                <w:bCs w:val="false"/>
                <w:sz w:val="24"/>
                <w:szCs w:val="24"/>
              </w:rPr>
            </w:pPr>
            <w:r>
              <w:rPr>
                <w:rFonts w:ascii="Times New Roman" w:hAnsi="Times New Roman"/>
                <w:b w:val="false"/>
                <w:bCs w:val="false"/>
                <w:sz w:val="24"/>
                <w:szCs w:val="24"/>
              </w:rPr>
              <w:t>2.655,95m²</w:t>
            </w:r>
          </w:p>
        </w:tc>
      </w:tr>
      <w:tr>
        <w:trPr/>
        <w:tc>
          <w:tcPr>
            <w:tcW w:w="44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pPr>
            <w:r>
              <w:rPr/>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ind w:left="720" w:hanging="0"/>
              <w:rPr>
                <w:rFonts w:ascii="Times New Roman" w:hAnsi="Times New Roman"/>
                <w:b w:val="false"/>
                <w:b w:val="false"/>
                <w:bCs w:val="false"/>
                <w:sz w:val="24"/>
                <w:szCs w:val="24"/>
              </w:rPr>
            </w:pPr>
            <w:r>
              <w:rPr>
                <w:rFonts w:ascii="Times New Roman" w:hAnsi="Times New Roman"/>
                <w:b w:val="false"/>
                <w:bCs w:val="false"/>
                <w:sz w:val="24"/>
                <w:szCs w:val="24"/>
              </w:rPr>
              <w:t>Pavimento térreo  = 1.298,80m²</w:t>
            </w:r>
          </w:p>
        </w:tc>
      </w:tr>
      <w:tr>
        <w:trPr/>
        <w:tc>
          <w:tcPr>
            <w:tcW w:w="44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pPr>
            <w:r>
              <w:rPr/>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ind w:left="720" w:hanging="0"/>
              <w:rPr>
                <w:rFonts w:ascii="Times New Roman" w:hAnsi="Times New Roman"/>
                <w:b w:val="false"/>
                <w:b w:val="false"/>
                <w:bCs w:val="false"/>
                <w:sz w:val="24"/>
                <w:szCs w:val="24"/>
              </w:rPr>
            </w:pPr>
            <w:r>
              <w:rPr>
                <w:rFonts w:ascii="Times New Roman" w:hAnsi="Times New Roman"/>
                <w:b w:val="false"/>
                <w:bCs w:val="false"/>
                <w:sz w:val="24"/>
                <w:szCs w:val="24"/>
              </w:rPr>
              <w:t>Pavimento superior  = 1.357,15m²</w:t>
            </w:r>
          </w:p>
        </w:tc>
      </w:tr>
      <w:tr>
        <w:trPr>
          <w:trHeight w:val="402" w:hRule="atLeast"/>
        </w:trPr>
        <w:tc>
          <w:tcPr>
            <w:tcW w:w="4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Externa</w:t>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rPr>
                <w:rFonts w:ascii="Times New Roman" w:hAnsi="Times New Roman"/>
                <w:b w:val="false"/>
                <w:b w:val="false"/>
                <w:bCs w:val="false"/>
                <w:sz w:val="24"/>
                <w:szCs w:val="24"/>
              </w:rPr>
            </w:pPr>
            <w:r>
              <w:rPr>
                <w:rFonts w:ascii="Times New Roman" w:hAnsi="Times New Roman"/>
                <w:b w:val="false"/>
                <w:bCs w:val="false"/>
                <w:sz w:val="24"/>
                <w:szCs w:val="24"/>
              </w:rPr>
              <w:t>2.547,75m²</w:t>
            </w:r>
          </w:p>
        </w:tc>
      </w:tr>
      <w:tr>
        <w:trPr>
          <w:trHeight w:val="390" w:hRule="atLeast"/>
        </w:trPr>
        <w:tc>
          <w:tcPr>
            <w:tcW w:w="4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Vidros/Esquadria externa (sem risco)</w:t>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rPr>
                <w:rFonts w:ascii="Times New Roman" w:hAnsi="Times New Roman"/>
                <w:b w:val="false"/>
                <w:b w:val="false"/>
                <w:bCs w:val="false"/>
                <w:sz w:val="24"/>
                <w:szCs w:val="24"/>
              </w:rPr>
            </w:pPr>
            <w:r>
              <w:rPr>
                <w:rFonts w:ascii="Times New Roman" w:hAnsi="Times New Roman"/>
                <w:b w:val="false"/>
                <w:bCs w:val="false"/>
                <w:sz w:val="24"/>
                <w:szCs w:val="24"/>
              </w:rPr>
              <w:t>259,85 m²</w:t>
            </w:r>
          </w:p>
        </w:tc>
      </w:tr>
      <w:tr>
        <w:trPr>
          <w:trHeight w:val="405" w:hRule="atLeast"/>
        </w:trPr>
        <w:tc>
          <w:tcPr>
            <w:tcW w:w="4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Quantidade de Banheiros</w:t>
            </w:r>
          </w:p>
        </w:tc>
        <w:tc>
          <w:tcPr>
            <w:tcW w:w="4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rPr>
                <w:rFonts w:ascii="Times New Roman" w:hAnsi="Times New Roman"/>
                <w:b w:val="false"/>
                <w:b w:val="false"/>
                <w:bCs w:val="false"/>
                <w:sz w:val="24"/>
                <w:szCs w:val="24"/>
              </w:rPr>
            </w:pPr>
            <w:r>
              <w:rPr>
                <w:rFonts w:ascii="Times New Roman" w:hAnsi="Times New Roman"/>
                <w:b w:val="false"/>
                <w:bCs w:val="false"/>
                <w:sz w:val="24"/>
                <w:szCs w:val="24"/>
              </w:rPr>
              <w:t>22 unidades</w:t>
            </w:r>
          </w:p>
        </w:tc>
      </w:tr>
    </w:tbl>
    <w:p>
      <w:pPr>
        <w:pStyle w:val="Normal"/>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rPr/>
      </w:pPr>
      <w:r>
        <w:rPr>
          <w:rFonts w:eastAsia="PalatinoLinotype" w:ascii="Times New Roman" w:hAnsi="Times New Roman"/>
          <w:sz w:val="24"/>
          <w:szCs w:val="24"/>
        </w:rPr>
        <w:t xml:space="preserve">Obs: Tipos de piso do prédio da sede da 7ªSuperintendência Regional: </w:t>
      </w:r>
    </w:p>
    <w:p>
      <w:pPr>
        <w:pStyle w:val="ListParagraph"/>
        <w:rPr>
          <w:rFonts w:ascii="Times New Roman" w:hAnsi="Times New Roman"/>
          <w:sz w:val="24"/>
          <w:szCs w:val="24"/>
        </w:rPr>
      </w:pPr>
      <w:r>
        <w:rPr>
          <w:rFonts w:ascii="Times New Roman" w:hAnsi="Times New Roman"/>
          <w:sz w:val="24"/>
          <w:szCs w:val="24"/>
        </w:rPr>
      </w:r>
    </w:p>
    <w:p>
      <w:pPr>
        <w:pStyle w:val="ListParagraph"/>
        <w:numPr>
          <w:ilvl w:val="0"/>
          <w:numId w:val="18"/>
        </w:numPr>
        <w:rPr>
          <w:rFonts w:ascii="Times New Roman" w:hAnsi="Times New Roman"/>
          <w:sz w:val="24"/>
          <w:szCs w:val="24"/>
        </w:rPr>
      </w:pPr>
      <w:r>
        <w:rPr>
          <w:rFonts w:ascii="Times New Roman" w:hAnsi="Times New Roman"/>
          <w:sz w:val="24"/>
          <w:szCs w:val="24"/>
        </w:rPr>
        <w:t>Carpete</w:t>
      </w:r>
    </w:p>
    <w:p>
      <w:pPr>
        <w:pStyle w:val="ListParagraph"/>
        <w:numPr>
          <w:ilvl w:val="0"/>
          <w:numId w:val="18"/>
        </w:numPr>
        <w:rPr>
          <w:rFonts w:ascii="Times New Roman" w:hAnsi="Times New Roman"/>
          <w:sz w:val="24"/>
          <w:szCs w:val="24"/>
        </w:rPr>
      </w:pPr>
      <w:r>
        <w:rPr>
          <w:rFonts w:ascii="Times New Roman" w:hAnsi="Times New Roman"/>
          <w:sz w:val="24"/>
          <w:szCs w:val="24"/>
        </w:rPr>
        <w:t>Piso vinílico</w:t>
      </w:r>
    </w:p>
    <w:p>
      <w:pPr>
        <w:pStyle w:val="ListParagraph"/>
        <w:numPr>
          <w:ilvl w:val="0"/>
          <w:numId w:val="18"/>
        </w:numPr>
        <w:rPr>
          <w:rFonts w:ascii="Times New Roman" w:hAnsi="Times New Roman"/>
          <w:sz w:val="24"/>
          <w:szCs w:val="24"/>
        </w:rPr>
      </w:pPr>
      <w:r>
        <w:rPr>
          <w:rFonts w:ascii="Times New Roman" w:hAnsi="Times New Roman"/>
          <w:sz w:val="24"/>
          <w:szCs w:val="24"/>
        </w:rPr>
        <w:t>Piso granilite alta resistência</w:t>
      </w:r>
    </w:p>
    <w:p>
      <w:pPr>
        <w:pStyle w:val="ListParagraph"/>
        <w:numPr>
          <w:ilvl w:val="0"/>
          <w:numId w:val="18"/>
        </w:numPr>
        <w:rPr>
          <w:rFonts w:ascii="Times New Roman" w:hAnsi="Times New Roman"/>
          <w:sz w:val="24"/>
          <w:szCs w:val="24"/>
        </w:rPr>
      </w:pPr>
      <w:r>
        <w:rPr>
          <w:rFonts w:ascii="Times New Roman" w:hAnsi="Times New Roman"/>
          <w:sz w:val="24"/>
          <w:szCs w:val="24"/>
        </w:rPr>
        <w:t>Piso porcelanato 60x60</w:t>
      </w:r>
    </w:p>
    <w:p>
      <w:pPr>
        <w:pStyle w:val="ListParagraph"/>
        <w:numPr>
          <w:ilvl w:val="0"/>
          <w:numId w:val="18"/>
        </w:numPr>
        <w:rPr>
          <w:rFonts w:ascii="Times New Roman" w:hAnsi="Times New Roman"/>
          <w:sz w:val="24"/>
          <w:szCs w:val="24"/>
        </w:rPr>
      </w:pPr>
      <w:r>
        <w:rPr>
          <w:rFonts w:ascii="Times New Roman" w:hAnsi="Times New Roman"/>
          <w:sz w:val="24"/>
          <w:szCs w:val="24"/>
        </w:rPr>
        <w:t>Piso cerâmico 20x20</w:t>
      </w:r>
    </w:p>
    <w:p>
      <w:pPr>
        <w:pStyle w:val="Normal"/>
        <w:numPr>
          <w:ilvl w:val="0"/>
          <w:numId w:val="18"/>
        </w:numPr>
        <w:spacing w:lineRule="auto" w:line="360"/>
        <w:rPr>
          <w:rFonts w:ascii="Times New Roman" w:hAnsi="Times New Roman"/>
          <w:i w:val="false"/>
          <w:i w:val="false"/>
          <w:iCs w:val="false"/>
          <w:sz w:val="24"/>
          <w:szCs w:val="24"/>
        </w:rPr>
      </w:pPr>
      <w:r>
        <w:rPr>
          <w:rFonts w:eastAsia="PalatinoLinotype" w:ascii="Times New Roman" w:hAnsi="Times New Roman"/>
          <w:i w:val="false"/>
          <w:iCs w:val="false"/>
          <w:sz w:val="24"/>
          <w:szCs w:val="24"/>
        </w:rPr>
        <w:t>Piso cimentado</w:t>
      </w:r>
    </w:p>
    <w:p>
      <w:pPr>
        <w:pStyle w:val="Normal"/>
        <w:tabs>
          <w:tab w:val="left" w:pos="0" w:leader="none"/>
        </w:tabs>
        <w:spacing w:lineRule="auto" w:line="360" w:before="100" w:after="0"/>
        <w:rPr/>
      </w:pPr>
      <w:r>
        <w:rPr>
          <w:rFonts w:eastAsia="PalatinoLinotype" w:ascii="Times New Roman" w:hAnsi="Times New Roman"/>
          <w:i w:val="false"/>
          <w:iCs w:val="false"/>
          <w:sz w:val="24"/>
          <w:szCs w:val="24"/>
        </w:rPr>
        <w:t>Tabela 7 – Área do prédio do Escritório de Apoio Técnico de Oeiras:84</w:t>
      </w:r>
    </w:p>
    <w:tbl>
      <w:tblPr>
        <w:tblW w:w="907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0" w:noVBand="0" w:lastRow="0" w:firstColumn="0" w:lastColumn="0" w:noHBand="0" w:val="0000"/>
      </w:tblPr>
      <w:tblGrid>
        <w:gridCol w:w="4483"/>
        <w:gridCol w:w="4591"/>
      </w:tblGrid>
      <w:tr>
        <w:trPr>
          <w:trHeight w:val="330"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Tipo de área</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Metragem/Quantidade</w:t>
            </w:r>
          </w:p>
        </w:tc>
      </w:tr>
      <w:tr>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Interna</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tedodetabela"/>
              <w:tabs>
                <w:tab w:val="left" w:pos="0" w:leader="none"/>
              </w:tabs>
              <w:snapToGrid w:val="false"/>
              <w:ind w:hanging="0"/>
              <w:jc w:val="center"/>
              <w:rPr>
                <w:rFonts w:ascii="Times New Roman" w:hAnsi="Times New Roman" w:cs="Times New Roman"/>
                <w:b w:val="false"/>
                <w:b w:val="false"/>
                <w:bCs w:val="false"/>
                <w:sz w:val="24"/>
                <w:szCs w:val="24"/>
              </w:rPr>
            </w:pPr>
            <w:r>
              <w:rPr>
                <w:rFonts w:cs="Times New Roman"/>
                <w:b w:val="false"/>
                <w:bCs w:val="false"/>
                <w:sz w:val="24"/>
                <w:szCs w:val="24"/>
              </w:rPr>
              <w:t>303,00  m²</w:t>
            </w:r>
          </w:p>
        </w:tc>
      </w:tr>
      <w:tr>
        <w:trPr>
          <w:trHeight w:val="390"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Vidros/Esquadria externa (sem risco)</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tedodetabela"/>
              <w:tabs>
                <w:tab w:val="left" w:pos="0" w:leader="none"/>
              </w:tabs>
              <w:snapToGrid w:val="false"/>
              <w:jc w:val="center"/>
              <w:rPr>
                <w:rFonts w:ascii="Times New Roman" w:hAnsi="Times New Roman" w:cs="Times New Roman"/>
                <w:b w:val="false"/>
                <w:b w:val="false"/>
                <w:bCs w:val="false"/>
                <w:sz w:val="24"/>
                <w:szCs w:val="24"/>
              </w:rPr>
            </w:pPr>
            <w:r>
              <w:rPr>
                <w:rFonts w:cs="Times New Roman"/>
                <w:b w:val="false"/>
                <w:bCs w:val="false"/>
                <w:sz w:val="24"/>
                <w:szCs w:val="24"/>
              </w:rPr>
              <w:t>50,00 m²</w:t>
            </w:r>
          </w:p>
        </w:tc>
      </w:tr>
      <w:tr>
        <w:trPr>
          <w:trHeight w:val="405"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Quantidade de Banheiros</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jc w:val="center"/>
              <w:rPr>
                <w:rFonts w:ascii="Times New Roman" w:hAnsi="Times New Roman"/>
                <w:b w:val="false"/>
                <w:b w:val="false"/>
                <w:bCs w:val="false"/>
                <w:sz w:val="24"/>
                <w:szCs w:val="24"/>
              </w:rPr>
            </w:pPr>
            <w:r>
              <w:rPr>
                <w:rFonts w:ascii="Times New Roman" w:hAnsi="Times New Roman"/>
                <w:b w:val="false"/>
                <w:bCs w:val="false"/>
                <w:sz w:val="24"/>
                <w:szCs w:val="24"/>
              </w:rPr>
              <w:t>02</w:t>
            </w:r>
          </w:p>
        </w:tc>
      </w:tr>
    </w:tbl>
    <w:p>
      <w:pPr>
        <w:pStyle w:val="Normal"/>
        <w:tabs>
          <w:tab w:val="left" w:pos="0" w:leader="none"/>
        </w:tabs>
        <w:spacing w:lineRule="auto" w:line="360" w:before="100" w:after="0"/>
        <w:rPr>
          <w:rFonts w:ascii="Times New Roman" w:hAnsi="Times New Roman" w:eastAsia="PalatinoLinotype"/>
          <w:i w:val="false"/>
          <w:i w:val="false"/>
          <w:iCs w:val="false"/>
          <w:sz w:val="24"/>
          <w:szCs w:val="24"/>
        </w:rPr>
      </w:pPr>
      <w:r>
        <w:rPr>
          <w:rFonts w:eastAsia="PalatinoLinotype" w:ascii="Times New Roman" w:hAnsi="Times New Roman"/>
          <w:i w:val="false"/>
          <w:iCs w:val="false"/>
          <w:sz w:val="24"/>
          <w:szCs w:val="24"/>
        </w:rPr>
      </w:r>
    </w:p>
    <w:p>
      <w:pPr>
        <w:pStyle w:val="Normal"/>
        <w:tabs>
          <w:tab w:val="left" w:pos="0" w:leader="none"/>
        </w:tabs>
        <w:spacing w:lineRule="auto" w:line="360" w:before="100" w:after="0"/>
        <w:rPr/>
      </w:pPr>
      <w:r>
        <w:rPr>
          <w:rFonts w:eastAsia="PalatinoLinotype" w:ascii="Times New Roman" w:hAnsi="Times New Roman"/>
          <w:i w:val="false"/>
          <w:iCs w:val="false"/>
          <w:sz w:val="24"/>
          <w:szCs w:val="24"/>
        </w:rPr>
        <w:t>Tabela 8 – Área do prédio do Escritório de Apoio Técnico de Parnaíba:</w:t>
      </w:r>
    </w:p>
    <w:tbl>
      <w:tblPr>
        <w:tblW w:w="907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0" w:noVBand="0" w:lastRow="0" w:firstColumn="0" w:lastColumn="0" w:noHBand="0" w:val="0000"/>
      </w:tblPr>
      <w:tblGrid>
        <w:gridCol w:w="4483"/>
        <w:gridCol w:w="4591"/>
      </w:tblGrid>
      <w:tr>
        <w:trPr>
          <w:trHeight w:val="330"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Tipo de área</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b/>
                <w:bCs/>
                <w:sz w:val="24"/>
                <w:szCs w:val="24"/>
              </w:rPr>
              <w:t>Metragem/Quantidade</w:t>
            </w:r>
          </w:p>
        </w:tc>
      </w:tr>
      <w:tr>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Interna</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tedodetabela"/>
              <w:tabs>
                <w:tab w:val="left" w:pos="0" w:leader="none"/>
              </w:tabs>
              <w:snapToGrid w:val="false"/>
              <w:ind w:hanging="0"/>
              <w:jc w:val="center"/>
              <w:rPr/>
            </w:pPr>
            <w:r>
              <w:rPr>
                <w:rFonts w:cs="Times New Roman"/>
                <w:b w:val="false"/>
                <w:bCs w:val="false"/>
                <w:sz w:val="24"/>
                <w:szCs w:val="24"/>
              </w:rPr>
              <w:t>128,09 m²</w:t>
            </w:r>
          </w:p>
        </w:tc>
      </w:tr>
      <w:tr>
        <w:trPr>
          <w:trHeight w:val="390"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rFonts w:ascii="Times New Roman" w:hAnsi="Times New Roman"/>
              </w:rPr>
            </w:pPr>
            <w:r>
              <w:rPr>
                <w:rFonts w:ascii="Times New Roman" w:hAnsi="Times New Roman"/>
              </w:rPr>
              <w:t>Externa</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tedodetabela"/>
              <w:tabs>
                <w:tab w:val="left" w:pos="0" w:leader="none"/>
              </w:tabs>
              <w:snapToGrid w:val="false"/>
              <w:jc w:val="center"/>
              <w:rPr>
                <w:rFonts w:ascii="Times New Roman" w:hAnsi="Times New Roman" w:cs="Times New Roman"/>
                <w:b w:val="false"/>
                <w:b w:val="false"/>
                <w:bCs w:val="false"/>
                <w:sz w:val="24"/>
                <w:szCs w:val="24"/>
              </w:rPr>
            </w:pPr>
            <w:r>
              <w:rPr>
                <w:rFonts w:cs="Times New Roman"/>
                <w:b w:val="false"/>
                <w:bCs w:val="false"/>
                <w:sz w:val="24"/>
                <w:szCs w:val="24"/>
              </w:rPr>
              <w:t>55,47 m²</w:t>
            </w:r>
          </w:p>
        </w:tc>
      </w:tr>
      <w:tr>
        <w:trPr>
          <w:trHeight w:val="390"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Vidros/Esquadria externa (sem risco)</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Contedodetabela"/>
              <w:tabs>
                <w:tab w:val="left" w:pos="0" w:leader="none"/>
              </w:tabs>
              <w:snapToGrid w:val="false"/>
              <w:jc w:val="center"/>
              <w:rPr>
                <w:rFonts w:ascii="Times New Roman" w:hAnsi="Times New Roman" w:cs="Times New Roman"/>
                <w:b w:val="false"/>
                <w:b w:val="false"/>
                <w:bCs w:val="false"/>
                <w:sz w:val="24"/>
                <w:szCs w:val="24"/>
              </w:rPr>
            </w:pPr>
            <w:r>
              <w:rPr>
                <w:rFonts w:cs="Times New Roman"/>
                <w:b w:val="false"/>
                <w:bCs w:val="false"/>
                <w:sz w:val="24"/>
                <w:szCs w:val="24"/>
              </w:rPr>
              <w:t>22,10 m²</w:t>
            </w:r>
          </w:p>
        </w:tc>
      </w:tr>
      <w:tr>
        <w:trPr>
          <w:trHeight w:val="405" w:hRule="atLeast"/>
        </w:trPr>
        <w:tc>
          <w:tcPr>
            <w:tcW w:w="44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jc w:val="center"/>
              <w:rPr/>
            </w:pPr>
            <w:r>
              <w:rPr>
                <w:rFonts w:ascii="Times New Roman" w:hAnsi="Times New Roman"/>
              </w:rPr>
              <w:t>Quantidade de Banheiros</w:t>
            </w:r>
          </w:p>
        </w:tc>
        <w:tc>
          <w:tcPr>
            <w:tcW w:w="45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ListParagraph"/>
              <w:tabs>
                <w:tab w:val="left" w:pos="0" w:leader="none"/>
              </w:tabs>
              <w:jc w:val="center"/>
              <w:rPr>
                <w:rFonts w:ascii="Times New Roman" w:hAnsi="Times New Roman"/>
                <w:b w:val="false"/>
                <w:b w:val="false"/>
                <w:bCs w:val="false"/>
                <w:sz w:val="24"/>
                <w:szCs w:val="24"/>
              </w:rPr>
            </w:pPr>
            <w:r>
              <w:rPr>
                <w:rFonts w:ascii="Times New Roman" w:hAnsi="Times New Roman"/>
                <w:b w:val="false"/>
                <w:bCs w:val="false"/>
                <w:sz w:val="24"/>
                <w:szCs w:val="24"/>
              </w:rPr>
              <w:t>03</w:t>
            </w:r>
          </w:p>
        </w:tc>
      </w:tr>
    </w:tbl>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rPr>
          <w:rFonts w:eastAsia="PalatinoLinotype"/>
          <w:color w:val="00000A"/>
        </w:rPr>
      </w:pPr>
      <w:r>
        <w:rPr>
          <w:rFonts w:eastAsia="PalatinoLinotype" w:ascii="Times New Roman" w:hAnsi="Times New Roman"/>
          <w:sz w:val="24"/>
          <w:szCs w:val="24"/>
        </w:rPr>
        <w:t xml:space="preserve">8.2. </w:t>
      </w:r>
      <w:r>
        <w:rPr>
          <w:rFonts w:eastAsia="PalatinoLinotype" w:ascii="Times New Roman" w:hAnsi="Times New Roman"/>
          <w:color w:val="00000A"/>
          <w:sz w:val="24"/>
          <w:szCs w:val="24"/>
        </w:rPr>
        <w:t>Os serviços serão contratados com base na área física a ser limpa, estabelecendo-se uma estimativa do custo por metro quadrado (m²), observadas a peculiaridade, a produtividade, a periodicidade e a frequência de cada tipo de serviço e das condições do local objeto da contratação.</w:t>
      </w:r>
    </w:p>
    <w:p>
      <w:pPr>
        <w:pStyle w:val="Normal"/>
        <w:spacing w:lineRule="auto" w:line="360"/>
        <w:rPr/>
      </w:pPr>
      <w:r>
        <w:rPr>
          <w:rFonts w:eastAsia="PalatinoLinotype" w:ascii="Times New Roman" w:hAnsi="Times New Roman"/>
          <w:sz w:val="24"/>
          <w:szCs w:val="24"/>
        </w:rPr>
        <w:t>8.3. Nos casos em que a área física a ser Contratada for menor que a estabelecida para a produtividade mínima de referência estabelecida no anexo VI-B da IN/SEGES/MPDG nº 05, de 2017, esta poderá ser considerada para efeito da contratação</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r>
    </w:p>
    <w:p>
      <w:pPr>
        <w:pStyle w:val="Normal"/>
        <w:jc w:val="left"/>
        <w:rPr/>
      </w:pPr>
      <w:r>
        <w:rPr>
          <w:rFonts w:eastAsia="PalatinoLinotype" w:ascii="Times New Roman" w:hAnsi="Times New Roman"/>
          <w:color w:val="00000A"/>
          <w:sz w:val="24"/>
          <w:szCs w:val="24"/>
        </w:rPr>
        <w:t>9. METODOLOGIA DE AVALIAÇÃO DA EXECUÇÃO DOS SERVIÇOS.</w:t>
      </w:r>
    </w:p>
    <w:p>
      <w:pPr>
        <w:pStyle w:val="Normal"/>
        <w:jc w:val="left"/>
        <w:rPr>
          <w:rFonts w:ascii="Times New Roman" w:hAnsi="Times New Roman" w:eastAsia="PalatinoLinotype"/>
          <w:color w:val="00000A"/>
          <w:sz w:val="24"/>
          <w:szCs w:val="24"/>
        </w:rPr>
      </w:pPr>
      <w:r>
        <w:rPr>
          <w:rFonts w:eastAsia="PalatinoLinotype" w:ascii="Times New Roman" w:hAnsi="Times New Roman"/>
          <w:color w:val="00000A"/>
          <w:sz w:val="24"/>
          <w:szCs w:val="24"/>
        </w:rPr>
      </w:r>
    </w:p>
    <w:p>
      <w:pPr>
        <w:pStyle w:val="Normal"/>
        <w:spacing w:lineRule="auto" w:line="360"/>
        <w:rPr/>
      </w:pPr>
      <w:r>
        <w:rPr>
          <w:rFonts w:eastAsia="PalatinoLinotype" w:ascii="Times New Roman" w:hAnsi="Times New Roman"/>
          <w:color w:val="00000A"/>
          <w:sz w:val="24"/>
          <w:szCs w:val="24"/>
        </w:rPr>
        <w:t>9.1.</w:t>
        <w:tab/>
        <w:t>Os serviços deverão ser executados com base nos parâmetros mínimos a seguir estabelecidos:</w:t>
      </w:r>
    </w:p>
    <w:p>
      <w:pPr>
        <w:pStyle w:val="Normal"/>
        <w:spacing w:lineRule="auto" w:line="360"/>
        <w:rPr>
          <w:rFonts w:eastAsia="PalatinoLinotype"/>
          <w:color w:val="00000A"/>
        </w:rPr>
      </w:pPr>
      <w:r>
        <w:rPr>
          <w:rFonts w:eastAsia="PalatinoLinotype" w:ascii="Times New Roman" w:hAnsi="Times New Roman"/>
          <w:color w:val="00000A"/>
          <w:sz w:val="24"/>
          <w:szCs w:val="24"/>
        </w:rPr>
        <w:t xml:space="preserve">9.2. </w:t>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pPr>
        <w:pStyle w:val="Normal"/>
        <w:spacing w:lineRule="auto" w:line="360"/>
        <w:rPr/>
      </w:pPr>
      <w:r>
        <w:rPr>
          <w:rFonts w:eastAsia="PalatinoLinotype" w:ascii="Times New Roman" w:hAnsi="Times New Roman"/>
          <w:color w:val="00000A"/>
          <w:sz w:val="24"/>
          <w:szCs w:val="24"/>
        </w:rPr>
        <w:t xml:space="preserve">9.3. </w:t>
        <w:tab/>
      </w:r>
      <w:r>
        <w:rPr>
          <w:rFonts w:eastAsia="PalatinoLinotype" w:ascii="Times New Roman" w:hAnsi="Times New Roman"/>
          <w:i w:val="false"/>
          <w:caps w:val="false"/>
          <w:smallCaps w:val="false"/>
          <w:color w:val="00000A"/>
          <w:sz w:val="24"/>
          <w:szCs w:val="24"/>
        </w:rPr>
        <w:t>O Instrumento de Medição de Resultados (nomenclatura da IN 05/2017 do MPDG para o Acordo de Nível de Serviço) é baseado em um Fator de Qualidade (%), que consiste em indicador percentual obtido como resultado de avaliações periódicas executadas por servidor ou, preferencialmente, por grupo de servidores constituindo Comissão Específica de Avaliação (CEA) designada para tal.</w:t>
      </w:r>
    </w:p>
    <w:p>
      <w:pPr>
        <w:pStyle w:val="Normal"/>
        <w:spacing w:lineRule="auto" w:line="360"/>
        <w:rPr/>
      </w:pPr>
      <w:r>
        <w:rPr>
          <w:rFonts w:eastAsia="PalatinoLinotype" w:ascii="Times New Roman" w:hAnsi="Times New Roman"/>
          <w:i w:val="false"/>
          <w:caps w:val="false"/>
          <w:smallCaps w:val="false"/>
          <w:color w:val="00000A"/>
          <w:sz w:val="24"/>
          <w:szCs w:val="24"/>
        </w:rPr>
        <w:t xml:space="preserve">9.4. </w:t>
        <w:tab/>
        <w:t>Dessa forma, busca-se incluir critério de performance para os serviços de limpeza, seguindo as melhores práticas aplicadas na Administração Pública.</w:t>
      </w:r>
    </w:p>
    <w:p>
      <w:pPr>
        <w:pStyle w:val="Normal"/>
        <w:spacing w:lineRule="auto" w:line="360"/>
        <w:rPr/>
      </w:pPr>
      <w:r>
        <w:rPr>
          <w:rFonts w:eastAsia="PalatinoLinotype" w:ascii="Times New Roman" w:hAnsi="Times New Roman"/>
          <w:i w:val="false"/>
          <w:caps w:val="false"/>
          <w:smallCaps w:val="false"/>
          <w:color w:val="00000A"/>
          <w:sz w:val="24"/>
          <w:szCs w:val="24"/>
        </w:rPr>
        <w:t>9.5.</w:t>
        <w:tab/>
        <w:t>A meta a ser atingida pelas empresas é de 100%, isto é, espera-se que a empresa obtenha o Fator de Qualidade = 100% para que receba integralmente a remuneração pelos serviços de Limpeza prestados.</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b/>
          <w:i w:val="false"/>
          <w:caps w:val="false"/>
          <w:smallCaps w:val="false"/>
          <w:color w:val="00000A"/>
          <w:sz w:val="24"/>
          <w:szCs w:val="24"/>
        </w:rPr>
        <w:t>VF = VM x FQ;</w:t>
      </w:r>
      <w:r>
        <w:rPr>
          <w:rFonts w:eastAsia="PalatinoLinotype" w:ascii="Times New Roman" w:hAnsi="Times New Roman"/>
          <w:i w:val="false"/>
          <w:caps w:val="false"/>
          <w:smallCaps w:val="false"/>
          <w:color w:val="00000A"/>
          <w:sz w:val="24"/>
          <w:szCs w:val="24"/>
        </w:rPr>
        <w:t xml:space="preserve"> </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 xml:space="preserve">VF: Valor de Fatura (parte referente apenas ao serviço de Limpeza); </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 xml:space="preserve">VM: Valor da Medição (referente apenas à proporção do custo da Limpeza no valor total dos contratos que envolvam mais de um serviço); </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FQ: Fator de Qualidade (%).</w:t>
      </w:r>
    </w:p>
    <w:p>
      <w:pPr>
        <w:pStyle w:val="Normal"/>
        <w:spacing w:lineRule="auto" w:line="360"/>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9.6.</w:t>
        <w:tab/>
        <w:t>O fator de qualidade será obtido por meio da nota obtida na avaliação periódica efetuada pelo servidor responsável ou pela comissão.</w:t>
      </w:r>
    </w:p>
    <w:p>
      <w:pPr>
        <w:pStyle w:val="Normal"/>
        <w:spacing w:lineRule="auto" w:line="360"/>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9.7.</w:t>
        <w:tab/>
        <w:t>Durante os primeiros 3 (três) meses de contrato, a título de carência para que a CONTRATADA efetue os ajustes necessários à correta execução dos serviços e a CONTRATANTE conheça, discuta e adapte localmente o procedimento avaliativo; o Fator de Qualidade (FQ) obtido não repercutirá no Valor da Fatura nem será usado como critério para sanções ou para decisão de prorrogação contratual. Nesses meses o Valor de Fatura será igual ao Valor de Medição, ressalvadas eventuais glosas e punições não relacionadas ao FQ.</w:t>
      </w:r>
    </w:p>
    <w:p>
      <w:pPr>
        <w:pStyle w:val="Normal"/>
        <w:spacing w:lineRule="auto" w:line="360"/>
        <w:rPr/>
      </w:pPr>
      <w:r>
        <w:rPr>
          <w:rFonts w:eastAsia="PalatinoLinotype" w:ascii="Times New Roman" w:hAnsi="Times New Roman"/>
          <w:color w:val="00000A"/>
          <w:sz w:val="24"/>
          <w:szCs w:val="24"/>
        </w:rPr>
        <w:t>9.8.</w:t>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pPr>
        <w:pStyle w:val="Normal"/>
        <w:spacing w:lineRule="auto" w:line="360"/>
        <w:rPr/>
      </w:pPr>
      <w:r>
        <w:rPr>
          <w:rFonts w:eastAsia="PalatinoLinotype" w:ascii="Times New Roman" w:hAnsi="Times New Roman"/>
          <w:color w:val="00000A"/>
          <w:sz w:val="24"/>
          <w:szCs w:val="24"/>
        </w:rPr>
        <w:tab/>
        <w:t>9.8.1. O valor pago mensalmente será ajustado ao resultado da avaliação do serviço por meio do Instrumento de Medição de Resultado, anexo indissociável do contrato.</w:t>
      </w:r>
    </w:p>
    <w:p>
      <w:pPr>
        <w:pStyle w:val="Normal"/>
        <w:spacing w:lineRule="auto" w:line="360"/>
        <w:rPr/>
      </w:pPr>
      <w:r>
        <w:rPr>
          <w:rFonts w:eastAsia="PalatinoLinotype" w:ascii="Times New Roman" w:hAnsi="Times New Roman"/>
          <w:color w:val="00000A"/>
          <w:sz w:val="24"/>
          <w:szCs w:val="24"/>
        </w:rPr>
        <w:t>9.9.</w:t>
        <w:tab/>
        <w:t>O procedimento de avaliação dos serviços será realizado periodicamente pelos fiscais do contrato, com base em pontuações atribuídas a cada item.</w:t>
      </w:r>
    </w:p>
    <w:p>
      <w:pPr>
        <w:pStyle w:val="Normal"/>
        <w:spacing w:lineRule="auto" w:line="360"/>
        <w:rPr/>
      </w:pPr>
      <w:r>
        <w:rPr>
          <w:rFonts w:eastAsia="PalatinoLinotype" w:ascii="Times New Roman" w:hAnsi="Times New Roman"/>
          <w:color w:val="00000A"/>
          <w:sz w:val="24"/>
          <w:szCs w:val="24"/>
        </w:rPr>
        <w:t>9.10.</w:t>
        <w:tab/>
        <w:t xml:space="preserve"> A pontuação máxima será de 100 (cem) pontos.</w:t>
      </w:r>
    </w:p>
    <w:p>
      <w:pPr>
        <w:pStyle w:val="Normal"/>
        <w:spacing w:lineRule="auto" w:line="360"/>
        <w:rPr/>
      </w:pPr>
      <w:r>
        <w:rPr>
          <w:rFonts w:eastAsia="PalatinoLinotype" w:ascii="Times New Roman" w:hAnsi="Times New Roman"/>
          <w:color w:val="00000A"/>
          <w:sz w:val="24"/>
          <w:szCs w:val="24"/>
        </w:rPr>
        <w:t>9.11.</w:t>
        <w:tab/>
        <w:t>Os serviços serão considerados insatisfatórios se a empresa não atingir 40 (quarenta) pontos.</w:t>
      </w:r>
    </w:p>
    <w:p>
      <w:pPr>
        <w:pStyle w:val="Normal"/>
        <w:spacing w:lineRule="auto" w:line="360"/>
        <w:rPr/>
      </w:pPr>
      <w:r>
        <w:rPr>
          <w:rFonts w:eastAsia="PalatinoLinotype" w:ascii="Times New Roman" w:hAnsi="Times New Roman"/>
          <w:color w:val="00000A"/>
          <w:sz w:val="24"/>
          <w:szCs w:val="24"/>
        </w:rPr>
        <w:t>9.12.</w:t>
        <w:tab/>
        <w:t>O não atendimento das metas, por ínfima diferença poderá ser objeto apenas de notificação nas primeiras ocorrências, de modo a não comprometer a continuidade da contratação.</w:t>
      </w:r>
    </w:p>
    <w:p>
      <w:pPr>
        <w:pStyle w:val="Normal"/>
        <w:spacing w:lineRule="auto" w:line="360"/>
        <w:rPr/>
      </w:pPr>
      <w:r>
        <w:rPr>
          <w:rFonts w:eastAsia="PalatinoLinotype" w:ascii="Times New Roman" w:hAnsi="Times New Roman"/>
          <w:color w:val="00000A"/>
          <w:sz w:val="24"/>
          <w:szCs w:val="24"/>
        </w:rPr>
        <w:t>9.13.</w:t>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pPr>
        <w:pStyle w:val="Normal"/>
        <w:spacing w:lineRule="auto" w:line="360"/>
        <w:rPr/>
      </w:pPr>
      <w:r>
        <w:rPr>
          <w:rFonts w:eastAsia="PalatinoLinotype" w:ascii="Times New Roman" w:hAnsi="Times New Roman"/>
          <w:color w:val="00000A"/>
          <w:sz w:val="24"/>
          <w:szCs w:val="24"/>
        </w:rPr>
        <w:t>9.14.</w:t>
        <w:tab/>
        <w:t xml:space="preserve"> A critério da Contratante, a Contratada poderá ser penalizada com a rescisão contratual nas seguintes condições:</w:t>
      </w:r>
    </w:p>
    <w:p>
      <w:pPr>
        <w:pStyle w:val="Normal"/>
        <w:spacing w:lineRule="auto" w:line="360"/>
        <w:rPr/>
      </w:pPr>
      <w:r>
        <w:rPr>
          <w:rFonts w:eastAsia="PalatinoLinotype" w:ascii="Times New Roman" w:hAnsi="Times New Roman"/>
          <w:color w:val="00000A"/>
          <w:sz w:val="24"/>
          <w:szCs w:val="24"/>
        </w:rPr>
        <w:tab/>
        <w:t>9.14.1. Em caso de reincidência de falhas penalizadas com o desconto de 10% (dez por cento) por mais de 3 (três) vezes durante a vigência do contrato ou a cada prorrogação, se houver;</w:t>
      </w:r>
    </w:p>
    <w:p>
      <w:pPr>
        <w:pStyle w:val="Normal"/>
        <w:spacing w:lineRule="auto" w:line="360"/>
        <w:rPr/>
      </w:pPr>
      <w:r>
        <w:rPr>
          <w:rFonts w:eastAsia="PalatinoLinotype" w:ascii="Times New Roman" w:hAnsi="Times New Roman"/>
          <w:color w:val="00000A"/>
          <w:sz w:val="24"/>
          <w:szCs w:val="24"/>
        </w:rPr>
        <w:tab/>
        <w:t>9.14.2. Faixa de pontuação obtida abaixo de 25 (vinte e cinco) pontos;</w:t>
      </w:r>
    </w:p>
    <w:p>
      <w:pPr>
        <w:pStyle w:val="Normal"/>
        <w:spacing w:lineRule="auto" w:line="360"/>
        <w:rPr/>
      </w:pPr>
      <w:r>
        <w:rPr>
          <w:rFonts w:eastAsia="PalatinoLinotype" w:ascii="Times New Roman" w:hAnsi="Times New Roman"/>
          <w:color w:val="00000A"/>
          <w:sz w:val="24"/>
          <w:szCs w:val="24"/>
        </w:rPr>
        <w:tab/>
        <w:t>9.14.3. A pontuação for inferior a 40 (quarenta) pontos por 3 (três) meses consecutivos.</w:t>
      </w:r>
    </w:p>
    <w:p>
      <w:pPr>
        <w:pStyle w:val="Normal"/>
        <w:spacing w:lineRule="auto" w:line="360"/>
        <w:rPr/>
      </w:pPr>
      <w:r>
        <w:rPr>
          <w:rFonts w:eastAsia="PalatinoLinotype" w:ascii="Times New Roman" w:hAnsi="Times New Roman"/>
          <w:color w:val="00000A"/>
          <w:sz w:val="24"/>
          <w:szCs w:val="24"/>
        </w:rPr>
        <w:t>9.15.</w:t>
        <w:tab/>
      </w:r>
      <w:r>
        <w:rPr>
          <w:rFonts w:eastAsia="PalatinoLinotype" w:ascii="Times New Roman" w:hAnsi="Times New Roman"/>
          <w:i w:val="false"/>
          <w:caps w:val="false"/>
          <w:smallCaps w:val="false"/>
          <w:color w:val="00000A"/>
          <w:sz w:val="24"/>
          <w:szCs w:val="24"/>
        </w:rPr>
        <w:t>A avaliação periódica será executada pelo servidor responsável e deverá ter periodicidade mensal e será baseada em vistorias para aferição da qualidade dos serviços prestados.</w:t>
      </w:r>
    </w:p>
    <w:p>
      <w:pPr>
        <w:pStyle w:val="Normal"/>
        <w:spacing w:lineRule="auto" w:line="360"/>
        <w:rPr/>
      </w:pPr>
      <w:r>
        <w:rPr>
          <w:rFonts w:eastAsia="PalatinoLinotype" w:ascii="Times New Roman" w:hAnsi="Times New Roman"/>
          <w:i w:val="false"/>
          <w:caps w:val="false"/>
          <w:smallCaps w:val="false"/>
          <w:color w:val="00000A"/>
          <w:sz w:val="24"/>
          <w:szCs w:val="24"/>
        </w:rPr>
        <w:t>9.16.</w:t>
        <w:tab/>
        <w:t>Cada falha identificada na avaliação será enquadrada em uma das 3 categorias abaixo assumindo a pontuação correspondente:</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pontos.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7</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3</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w:t>
            </w:r>
          </w:p>
        </w:tc>
      </w:tr>
    </w:tbl>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9.17.</w:t>
        <w:tab/>
      </w:r>
      <w:r>
        <w:rPr>
          <w:rFonts w:eastAsia="PalatinoLinotype" w:ascii="Times New Roman" w:hAnsi="Times New Roman"/>
          <w:i w:val="false"/>
          <w:caps w:val="false"/>
          <w:smallCaps w:val="false"/>
          <w:color w:val="00000A"/>
          <w:sz w:val="24"/>
          <w:szCs w:val="24"/>
        </w:rPr>
        <w:t>Seguem os tipos de falhas de acordo com as respectivas categorias:</w:t>
        <w:br/>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6629"/>
        <w:gridCol w:w="2725"/>
      </w:tblGrid>
      <w:tr>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Falhas de Natureza Crítica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Unidade de Medida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Falta de material de reposição nos banheiros.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banheiro</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Mau cheiro nos banheiros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banheiro</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Dejetos visíveis a olho nu a uma distância mínima de 1,50 metros, nos pisos, mictórios, pias, bancadas, espelhos, vasos sanitários, assentos e tampos dos vasos sanitários, dos banheiros.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banheiro</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Bancadas molhadas ou empoçadas em mais de 1/3 de sua área.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banheiro</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Transbordamento de lixeiras em qualquer área.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lixeira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Poeira grosseira (capaz de sujar a mão ou um papel A4 branco que seja arrastado sobre a superfície), sobre as mesas, balcões, estações de trabalho, estantes e livros da biblioteca e demais móveis e utensílios.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sala ou ambiente</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 xml:space="preserve">Existência de farelos, areia, terra, pedaços de papel, ou quaisquer sujidades </w:t>
            </w:r>
            <w:r>
              <w:rPr>
                <w:rFonts w:ascii="Times New Roman" w:hAnsi="Times New Roman"/>
                <w:b/>
                <w:i w:val="false"/>
                <w:caps w:val="false"/>
                <w:smallCaps w:val="false"/>
                <w:color w:val="000000"/>
                <w:sz w:val="24"/>
              </w:rPr>
              <w:t xml:space="preserve">grosseiras </w:t>
            </w:r>
            <w:r>
              <w:rPr>
                <w:rFonts w:ascii="Times New Roman" w:hAnsi="Times New Roman"/>
                <w:i w:val="false"/>
                <w:caps w:val="false"/>
                <w:smallCaps w:val="false"/>
                <w:color w:val="000000"/>
                <w:sz w:val="24"/>
              </w:rPr>
              <w:t>nos pisos, visíveis a olho nu a uma distância mínima de 1,50 metros.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sala ou ambiente</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Existência de manchas, poeiras, terra, “pegadas”, umidade ou quaisquer sujidades nos pisos de carpete, visíveis a olho nu a uma distância mínima de 2,00 metros.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sala ou ambiente</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Pisos, paredes e tetos contendo manchas grosseiras, visíveis a olho nu a uma distância mínima de 1,50 metros, removíveis mediante limpeza simples.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sala ou ambiente</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Poças ou umidades nos pisos, paredes e tetos, visíveis a olho nu a uma distância mínima de 1,50 metros, exceto as observadas durante a realização dos serviços de limpeza e as causadas por falhas na estrutura do prédio (vazamentos, infiltrações, entupimentos, dentre outras).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sala ou ambiente</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 xml:space="preserve">Existência de farelos, areia, terra, folhas, manchas, “encardidos” ou quaisquer sujidades </w:t>
            </w:r>
            <w:r>
              <w:rPr>
                <w:rFonts w:ascii="Times New Roman" w:hAnsi="Times New Roman"/>
                <w:b/>
                <w:i w:val="false"/>
                <w:caps w:val="false"/>
                <w:smallCaps w:val="false"/>
                <w:color w:val="000000"/>
                <w:sz w:val="24"/>
              </w:rPr>
              <w:t xml:space="preserve">grosseiras </w:t>
            </w:r>
            <w:r>
              <w:rPr>
                <w:rFonts w:ascii="Times New Roman" w:hAnsi="Times New Roman"/>
                <w:i w:val="false"/>
                <w:caps w:val="false"/>
                <w:smallCaps w:val="false"/>
                <w:color w:val="000000"/>
                <w:sz w:val="24"/>
              </w:rPr>
              <w:t>no acesso principal a Codevasf, visíveis a olho nu a uma distância mínima de 2,00 metros.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Entrada da CODEVASF</w:t>
            </w:r>
          </w:p>
        </w:tc>
      </w:tr>
      <w:tr>
        <w:trPr>
          <w:trHeight w:val="1037"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Sujeira ou mofo, visíveis a olho nu a uma distância mínima de 1,50 metros, ou mau cheiro, nas geladeiras e frigobares.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geladeira ou frigobar</w:t>
            </w:r>
          </w:p>
        </w:tc>
      </w:tr>
      <w:tr>
        <w:trPr>
          <w:trHeight w:val="1037"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Falta de qualquer um dos materiais e equipamentos previstos que venha a causar interrupção ou redução na qualidade dos serviços.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ococrrência.</w:t>
            </w:r>
          </w:p>
        </w:tc>
      </w:tr>
      <w:tr>
        <w:trPr>
          <w:trHeight w:val="1037"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Qualidade do material de reposição dos banheiros em desacordo com as especificações do Termo de Referência.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rPr>
            </w:pPr>
            <w:r>
              <w:rPr>
                <w:rFonts w:ascii="Times New Roman" w:hAnsi="Times New Roman"/>
              </w:rPr>
              <w:t>Por banheiro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Falhas de Natureza Grave</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Farelos, areia, terra, pedaços de papel, ou quaisquer sujidades não grosseiras nos pisos, apenas visíveis a uma distância inferior a 1,50 metros e superior a 20 cm.</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Por sala ou ambiente</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Poeira grosseira (capaz de sujar a mão ou um papel A4 branco que seja arrastado sobre a superfície) nas faces internas das esquadrias externas, nas paredes e nas divisórias.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Por sala ou ambiente</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Bancadas molhadas ou empoçadas em até 1/3 de sua área.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Por banheiro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Outras Desconformidades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Sujeiras Grosseiras (inclusive teias de aranha) nos forros, tetos, calhas de eletricidade, luminárias, tubulações de teto, etc. nas garagens, oficinas, depósitos e demais áreas cobertas.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Por sala ou ambiente</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Presença lixo e folhas decadentes visíveis a olho nu a uma distância mínima de 1,50 m nas áreas externas, incluindo as áreas ajardinadas.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rPr>
                <w:rFonts w:ascii="Times New Roman" w:hAnsi="Times New Roman"/>
                <w:i w:val="false"/>
                <w:i w:val="false"/>
                <w:caps w:val="false"/>
                <w:smallCaps w:val="false"/>
                <w:color w:val="000000"/>
                <w:sz w:val="24"/>
              </w:rPr>
            </w:pPr>
            <w:r>
              <w:rPr>
                <w:rFonts w:ascii="Times New Roman" w:hAnsi="Times New Roman"/>
                <w:i w:val="false"/>
                <w:caps w:val="false"/>
                <w:smallCaps w:val="false"/>
                <w:color w:val="000000"/>
                <w:sz w:val="24"/>
              </w:rPr>
              <w:t>Por banheiro</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s>
        <w:rPr>
          <w:rFonts w:ascii="Times New Roman" w:hAnsi="Times New Roman"/>
          <w:color w:val="00000A"/>
          <w:sz w:val="24"/>
        </w:rPr>
      </w:pPr>
      <w:r>
        <w:rPr>
          <w:rFonts w:ascii="Times New Roman" w:hAnsi="Times New Roman"/>
          <w:color w:val="00000A"/>
          <w:sz w:val="24"/>
          <w:szCs w:val="24"/>
        </w:rPr>
        <w:t>9.18.</w:t>
        <w:tab/>
      </w:r>
      <w:r>
        <w:rPr>
          <w:rFonts w:ascii="Times New Roman" w:hAnsi="Times New Roman"/>
          <w:i w:val="false"/>
          <w:caps w:val="false"/>
          <w:smallCaps w:val="false"/>
          <w:color w:val="000000"/>
          <w:sz w:val="24"/>
        </w:rPr>
        <w:t>Para os fins da avaliação, considera-se 1 (um) ambiente:</w:t>
      </w:r>
    </w:p>
    <w:p>
      <w:pPr>
        <w:pStyle w:val="Normal"/>
        <w:widowControl/>
        <w:tabs>
          <w:tab w:val="left" w:pos="0" w:leader="none"/>
        </w:tabs>
        <w:bidi w:val="0"/>
        <w:spacing w:lineRule="auto" w:line="360"/>
        <w:ind w:left="794" w:right="0" w:hanging="0"/>
        <w:jc w:val="both"/>
        <w:rPr>
          <w:rFonts w:ascii="Times New Roman" w:hAnsi="Times New Roman"/>
          <w:color w:val="00000A"/>
          <w:sz w:val="24"/>
          <w:szCs w:val="24"/>
        </w:rPr>
      </w:pPr>
      <w:r>
        <w:rPr>
          <w:rFonts w:ascii="Times New Roman" w:hAnsi="Times New Roman"/>
          <w:color w:val="00000A"/>
          <w:sz w:val="24"/>
          <w:szCs w:val="24"/>
        </w:rPr>
        <w:t>9.18.1.</w:t>
      </w:r>
      <w:r>
        <w:rPr>
          <w:rFonts w:ascii="Times New Roman" w:hAnsi="Times New Roman"/>
          <w:i w:val="false"/>
          <w:caps w:val="false"/>
          <w:smallCaps w:val="false"/>
          <w:color w:val="000000"/>
          <w:sz w:val="24"/>
          <w:szCs w:val="24"/>
        </w:rPr>
        <w:t>Nos espaços fechados (escritórios, diretorias, gabinetes, salas de reunião, auditórios, consultórios), cada sala ou conjunto de salas com acesso à circulação comum do pavimento;</w:t>
      </w:r>
    </w:p>
    <w:p>
      <w:pPr>
        <w:pStyle w:val="Normal"/>
        <w:widowControl/>
        <w:tabs>
          <w:tab w:val="left" w:pos="0" w:leader="none"/>
        </w:tabs>
        <w:bidi w:val="0"/>
        <w:spacing w:lineRule="auto" w:line="360"/>
        <w:ind w:left="794" w:right="0" w:hanging="0"/>
        <w:jc w:val="both"/>
        <w:rPr>
          <w:rFonts w:ascii="Times New Roman" w:hAnsi="Times New Roman"/>
          <w:color w:val="00000A"/>
          <w:sz w:val="24"/>
          <w:szCs w:val="24"/>
        </w:rPr>
      </w:pPr>
      <w:r>
        <w:rPr>
          <w:rFonts w:ascii="Times New Roman" w:hAnsi="Times New Roman"/>
          <w:i w:val="false"/>
          <w:caps w:val="false"/>
          <w:smallCaps w:val="false"/>
          <w:color w:val="000000"/>
          <w:sz w:val="24"/>
          <w:szCs w:val="24"/>
        </w:rPr>
        <w:t>9.18.2.Cada 100 (cem) m² de garagem no mesmo pavimento;</w:t>
      </w:r>
    </w:p>
    <w:p>
      <w:pPr>
        <w:pStyle w:val="Normal"/>
        <w:widowControl/>
        <w:tabs>
          <w:tab w:val="left" w:pos="0" w:leader="none"/>
        </w:tabs>
        <w:bidi w:val="0"/>
        <w:spacing w:lineRule="auto" w:line="360"/>
        <w:ind w:left="794" w:right="0" w:hanging="0"/>
        <w:jc w:val="both"/>
        <w:rPr>
          <w:rFonts w:ascii="Times New Roman" w:hAnsi="Times New Roman"/>
          <w:color w:val="00000A"/>
          <w:sz w:val="24"/>
          <w:szCs w:val="24"/>
        </w:rPr>
      </w:pPr>
      <w:r>
        <w:rPr>
          <w:rFonts w:ascii="Times New Roman" w:hAnsi="Times New Roman"/>
          <w:i w:val="false"/>
          <w:caps w:val="false"/>
          <w:smallCaps w:val="false"/>
          <w:color w:val="000000"/>
          <w:sz w:val="24"/>
          <w:szCs w:val="24"/>
        </w:rPr>
        <w:t>9.18.3.Cada pavimento de hall de entrada, lobby ou circulação;</w:t>
      </w:r>
    </w:p>
    <w:p>
      <w:pPr>
        <w:pStyle w:val="Normal"/>
        <w:widowControl/>
        <w:tabs>
          <w:tab w:val="left" w:pos="0" w:leader="none"/>
        </w:tabs>
        <w:bidi w:val="0"/>
        <w:spacing w:lineRule="auto" w:line="360"/>
        <w:ind w:left="794" w:right="0" w:hanging="0"/>
        <w:jc w:val="both"/>
        <w:rPr>
          <w:rFonts w:ascii="Times New Roman" w:hAnsi="Times New Roman"/>
          <w:color w:val="00000A"/>
          <w:sz w:val="24"/>
        </w:rPr>
      </w:pPr>
      <w:r>
        <w:rPr>
          <w:rFonts w:ascii="Times New Roman" w:hAnsi="Times New Roman"/>
          <w:i w:val="false"/>
          <w:caps w:val="false"/>
          <w:smallCaps w:val="false"/>
          <w:color w:val="000000"/>
          <w:sz w:val="24"/>
          <w:szCs w:val="24"/>
        </w:rPr>
        <w:t>9.18.4.Cada 200 (duzentos) m² de área externa.</w:t>
      </w:r>
    </w:p>
    <w:p>
      <w:pPr>
        <w:pStyle w:val="Normal"/>
        <w:widowControl/>
        <w:tabs>
          <w:tab w:val="left" w:pos="0" w:leader="none"/>
        </w:tabs>
        <w:bidi w:val="0"/>
        <w:spacing w:lineRule="auto" w:line="360"/>
        <w:ind w:right="0" w:hanging="0"/>
        <w:jc w:val="both"/>
        <w:rPr>
          <w:rFonts w:ascii="Times New Roman" w:hAnsi="Times New Roman"/>
          <w:color w:val="00000A"/>
          <w:sz w:val="24"/>
        </w:rPr>
      </w:pPr>
      <w:r>
        <w:rPr>
          <w:rFonts w:ascii="Times New Roman" w:hAnsi="Times New Roman"/>
          <w:i w:val="false"/>
          <w:caps w:val="false"/>
          <w:smallCaps w:val="false"/>
          <w:color w:val="000000"/>
          <w:sz w:val="24"/>
          <w:szCs w:val="24"/>
        </w:rPr>
        <w:t>9.19.</w:t>
        <w:tab/>
        <w:t>Além das vistorias regulares periódicas, caso sejam detectadas as quantidades abaixo de reclamações das respectivas gravidades, poderá ser solicitada avaliação extraordinária da CEA ou servidor responsável. Nessas avaliações também será mantido o critério de sorteio das áreas a examinar.</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reclamações.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2</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5</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10</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s>
        <w:spacing w:lineRule="auto" w:line="360"/>
        <w:rPr>
          <w:rFonts w:ascii="Times New Roman" w:hAnsi="Times New Roman"/>
          <w:color w:val="00000A"/>
          <w:sz w:val="24"/>
        </w:rPr>
      </w:pPr>
      <w:r>
        <w:rPr>
          <w:rFonts w:ascii="Times New Roman" w:hAnsi="Times New Roman"/>
          <w:color w:val="00000A"/>
          <w:sz w:val="24"/>
          <w:szCs w:val="24"/>
        </w:rPr>
        <w:t>9.20.</w:t>
        <w:tab/>
      </w:r>
      <w:r>
        <w:rPr>
          <w:rFonts w:ascii="Times New Roman" w:hAnsi="Times New Roman"/>
          <w:i w:val="false"/>
          <w:caps w:val="false"/>
          <w:smallCaps w:val="false"/>
          <w:color w:val="000000"/>
          <w:sz w:val="24"/>
        </w:rPr>
        <w:t>Todas as falhas serão registradas segundo sua categoria e respectiva pontuação. A depender do resultado da soma da pontuação acumulada pela empresa durante o mês em uma ou mais vistorias, esta receberá um conceito de Fator de Qualidade – FQ- (bom, regular ou ruim) conforme tabela abaixo.</w:t>
      </w:r>
    </w:p>
    <w:tbl>
      <w:tblPr>
        <w:tblW w:w="9355" w:type="dxa"/>
        <w:jc w:val="left"/>
        <w:tblInd w:w="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2338"/>
        <w:gridCol w:w="2339"/>
        <w:gridCol w:w="2338"/>
        <w:gridCol w:w="2339"/>
      </w:tblGrid>
      <w:tr>
        <w:trPr/>
        <w:tc>
          <w:tcPr>
            <w:tcW w:w="9354"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rPr>
            </w:pPr>
            <w:r>
              <w:rPr>
                <w:rFonts w:ascii="Times New Roman" w:hAnsi="Times New Roman"/>
              </w:rPr>
              <w:t>Avaliação da fiscalização</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Soma total de pontos no mês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0 a 20 pontos</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21 a 150 pontos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Mais de 150 pontos</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Conceito</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Bom</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Regular</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Ruim</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 xml:space="preserve">FQ </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100%</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97,5%</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95%</w:t>
            </w:r>
          </w:p>
        </w:tc>
      </w:tr>
    </w:tbl>
    <w:p>
      <w:pPr>
        <w:pStyle w:val="Normal"/>
        <w:tabs>
          <w:tab w:val="left" w:pos="0" w:leader="none"/>
        </w:tabs>
        <w:rPr>
          <w:i w:val="false"/>
          <w:i w:val="false"/>
          <w:caps w:val="false"/>
          <w:smallCaps w:val="false"/>
          <w:color w:val="000000"/>
        </w:rPr>
      </w:pPr>
      <w:r>
        <w:rPr>
          <w:i w:val="false"/>
          <w:caps w:val="false"/>
          <w:smallCaps w:val="false"/>
          <w:color w:val="000000"/>
        </w:rPr>
      </w:r>
    </w:p>
    <w:p>
      <w:pPr>
        <w:pStyle w:val="Normal"/>
        <w:tabs>
          <w:tab w:val="left" w:pos="0" w:leader="none"/>
        </w:tabs>
        <w:spacing w:lineRule="auto" w:line="360"/>
        <w:rPr/>
      </w:pPr>
      <w:r>
        <w:rPr>
          <w:rFonts w:ascii="Times New Roman" w:hAnsi="Times New Roman"/>
          <w:color w:val="00000A"/>
          <w:sz w:val="24"/>
          <w:szCs w:val="24"/>
        </w:rPr>
        <w:t>9.21.</w:t>
        <w:tab/>
      </w:r>
      <w:r>
        <w:rPr>
          <w:rFonts w:ascii="Times New Roman" w:hAnsi="Times New Roman"/>
          <w:i w:val="false"/>
          <w:caps w:val="false"/>
          <w:smallCaps w:val="false"/>
          <w:color w:val="000000"/>
          <w:sz w:val="24"/>
        </w:rPr>
        <w:t>Ao final de cada período avaliativo a empresa receberá da administração um relatório com as falhas registradas e com o conceito final do FQ obtido com base na soma total da pontuação obtida.</w:t>
      </w:r>
    </w:p>
    <w:p>
      <w:pPr>
        <w:pStyle w:val="Normal"/>
        <w:tabs>
          <w:tab w:val="left" w:pos="0" w:leader="none"/>
        </w:tabs>
        <w:spacing w:lineRule="auto" w:line="360"/>
        <w:rPr>
          <w:rFonts w:ascii="Times New Roman" w:hAnsi="Times New Roman"/>
          <w:i w:val="false"/>
          <w:i w:val="false"/>
          <w:caps w:val="false"/>
          <w:smallCaps w:val="false"/>
          <w:color w:val="00000A"/>
          <w:sz w:val="24"/>
        </w:rPr>
      </w:pPr>
      <w:r>
        <w:rPr>
          <w:rFonts w:ascii="Times New Roman" w:hAnsi="Times New Roman"/>
          <w:i w:val="false"/>
          <w:caps w:val="false"/>
          <w:smallCaps w:val="false"/>
          <w:color w:val="00000A"/>
          <w:sz w:val="24"/>
        </w:rPr>
      </w:r>
    </w:p>
    <w:p>
      <w:pPr>
        <w:pStyle w:val="Normal"/>
        <w:spacing w:lineRule="auto" w:line="360"/>
        <w:rPr/>
      </w:pPr>
      <w:r>
        <w:rPr>
          <w:rFonts w:eastAsia="PalatinoLinotype" w:ascii="Times New Roman" w:hAnsi="Times New Roman"/>
          <w:sz w:val="24"/>
          <w:szCs w:val="24"/>
        </w:rPr>
        <w:t>10. REQUISITOS DA CONTRATAÇÃO</w:t>
      </w:r>
    </w:p>
    <w:p>
      <w:pPr>
        <w:pStyle w:val="Normal"/>
        <w:spacing w:lineRule="auto" w:line="360"/>
        <w:rPr/>
      </w:pPr>
      <w:r>
        <w:rPr>
          <w:rFonts w:eastAsia="PalatinoLinotype" w:ascii="Times New Roman" w:hAnsi="Times New Roman"/>
          <w:sz w:val="24"/>
          <w:szCs w:val="24"/>
        </w:rPr>
        <w:t>10.1. Os profissionais selecionados pela Contratada para a prestação dos serviços de limpeza, higienização e conservação deverão atender os seguintes requisitos:</w:t>
      </w:r>
    </w:p>
    <w:p>
      <w:pPr>
        <w:pStyle w:val="Normal"/>
        <w:shd w:val="clear" w:color="auto" w:fill="FFFFFF"/>
        <w:spacing w:lineRule="auto" w:line="360"/>
        <w:rPr/>
      </w:pPr>
      <w:r>
        <w:rPr>
          <w:rFonts w:eastAsia="PalatinoLinotype" w:ascii="Times New Roman" w:hAnsi="Times New Roman"/>
          <w:sz w:val="24"/>
          <w:szCs w:val="24"/>
        </w:rPr>
        <w:tab/>
        <w:t>10.1.1.</w:t>
      </w:r>
      <w:r>
        <w:rPr>
          <w:rFonts w:eastAsia="PalatinoLinotype" w:ascii="Times New Roman" w:hAnsi="Times New Roman"/>
          <w:color w:val="00000A"/>
          <w:sz w:val="24"/>
          <w:szCs w:val="24"/>
        </w:rPr>
        <w:t xml:space="preserve"> Cumprir jornada (s) de 44 (quarenta e quatro) horas semanais, conforme estabelecida (s) pela Administração, com profissionais qualificados e habilitados, conforme descrição no item 5.3; </w:t>
      </w:r>
    </w:p>
    <w:p>
      <w:pPr>
        <w:pStyle w:val="Normal"/>
        <w:spacing w:lineRule="auto" w:line="360"/>
        <w:rPr>
          <w:rFonts w:ascii="Times New Roman" w:hAnsi="Times New Roman"/>
          <w:sz w:val="24"/>
          <w:szCs w:val="24"/>
        </w:rPr>
      </w:pPr>
      <w:r>
        <w:rPr>
          <w:rFonts w:eastAsia="PalatinoLinotype" w:ascii="Times New Roman" w:hAnsi="Times New Roman"/>
          <w:sz w:val="24"/>
          <w:szCs w:val="24"/>
        </w:rPr>
        <w:tab/>
        <w:t xml:space="preserve">10.1.2. Deverão estar de acordo a classificação do Código Brasileiro de Ocupações – CBO: </w:t>
      </w:r>
      <w:r>
        <w:rPr>
          <w:rFonts w:eastAsia="PalatinoLinotype" w:ascii="Times New Roman" w:hAnsi="Times New Roman"/>
          <w:color w:val="00000A"/>
          <w:sz w:val="24"/>
          <w:szCs w:val="24"/>
        </w:rPr>
        <w:t>5143 e 5134</w:t>
      </w:r>
      <w:r>
        <w:rPr>
          <w:rFonts w:eastAsia="PalatinoLinotype" w:ascii="Times New Roman" w:hAnsi="Times New Roman"/>
          <w:color w:val="FF0000"/>
          <w:sz w:val="24"/>
          <w:szCs w:val="24"/>
        </w:rPr>
        <w:t xml:space="preserve"> </w:t>
      </w:r>
      <w:r>
        <w:rPr>
          <w:rFonts w:eastAsia="PalatinoLinotype" w:ascii="Times New Roman" w:hAnsi="Times New Roman"/>
          <w:sz w:val="24"/>
          <w:szCs w:val="24"/>
        </w:rPr>
        <w:t>com a devida capacitação necessária.</w:t>
      </w:r>
    </w:p>
    <w:p>
      <w:pPr>
        <w:pStyle w:val="Normal"/>
        <w:spacing w:lineRule="auto" w:line="360"/>
        <w:rPr>
          <w:rFonts w:ascii="Times New Roman" w:hAnsi="Times New Roman"/>
          <w:sz w:val="24"/>
          <w:szCs w:val="24"/>
        </w:rPr>
      </w:pPr>
      <w:r>
        <w:rPr>
          <w:rFonts w:eastAsia="PalatinoLinotype" w:ascii="Times New Roman" w:hAnsi="Times New Roman"/>
          <w:sz w:val="24"/>
          <w:szCs w:val="24"/>
        </w:rPr>
        <w:t>10.2. Os serviços serão contratados com base na Área Física a ser limpa, de acordo o custo por metro quadrado (m²).</w:t>
      </w:r>
    </w:p>
    <w:p>
      <w:pPr>
        <w:pStyle w:val="Normal"/>
        <w:spacing w:lineRule="auto" w:line="360"/>
        <w:rPr>
          <w:rFonts w:ascii="Times New Roman" w:hAnsi="Times New Roman"/>
          <w:sz w:val="24"/>
          <w:szCs w:val="24"/>
        </w:rPr>
      </w:pPr>
      <w:r>
        <w:rPr>
          <w:rFonts w:eastAsia="PalatinoLinotype" w:ascii="Times New Roman" w:hAnsi="Times New Roman"/>
          <w:sz w:val="24"/>
          <w:szCs w:val="24"/>
        </w:rPr>
        <w:tab/>
        <w:t xml:space="preserve">10.2.1. O quantitativo de profissionais, conforme a IN/SEGES/MPDG nº 05, de 2017, leva em consideração o índice de produtividade: </w:t>
      </w:r>
      <w:r>
        <w:rPr>
          <w:rFonts w:eastAsia="PalatinoLinotype" w:ascii="Times New Roman" w:hAnsi="Times New Roman"/>
          <w:color w:val="00000A"/>
          <w:sz w:val="24"/>
          <w:szCs w:val="24"/>
        </w:rPr>
        <w:t>Áreas Internas: 600 m².</w:t>
      </w:r>
    </w:p>
    <w:p>
      <w:pPr>
        <w:pStyle w:val="Normal"/>
        <w:spacing w:lineRule="auto" w:line="360"/>
        <w:rPr/>
      </w:pPr>
      <w:r>
        <w:rPr>
          <w:rFonts w:eastAsia="PalatinoLinotype" w:ascii="Times New Roman" w:hAnsi="Times New Roman"/>
          <w:sz w:val="24"/>
          <w:szCs w:val="24"/>
        </w:rPr>
        <w:t>10.3. A Contratada adotará ações que reduzam a exposição a contaminantes de partículas químicas e biológicas potencialmente perigosas, que possam impactar negativamente a qualidade do ar, a saúde, os sistemas de edifícios e o meio ambiente, conforme orientações contidas no caderno de logística referente a limpeza, disponível no sítio:</w:t>
      </w:r>
      <w:r>
        <w:rPr>
          <w:rFonts w:eastAsia="PalatinoLinotype" w:cs="PalatinoLinotype" w:ascii="Times New Roman" w:hAnsi="Times New Roman"/>
          <w:sz w:val="24"/>
          <w:szCs w:val="24"/>
        </w:rPr>
        <w:t xml:space="preserve"> </w:t>
      </w:r>
      <w:hyperlink r:id="rId2">
        <w:r>
          <w:rPr>
            <w:rStyle w:val="LinkdaInternet"/>
            <w:rFonts w:eastAsia="PalatinoLinotype" w:ascii="Times New Roman" w:hAnsi="Times New Roman"/>
            <w:sz w:val="24"/>
            <w:szCs w:val="24"/>
          </w:rPr>
          <w:t>https://www.comprasgovernamentais.gov.br</w:t>
        </w:r>
      </w:hyperlink>
      <w:r>
        <w:rPr>
          <w:rFonts w:eastAsia="PalatinoLinotype" w:ascii="Times New Roman" w:hAnsi="Times New Roman"/>
          <w:sz w:val="24"/>
          <w:szCs w:val="24"/>
        </w:rPr>
        <w:t>.</w:t>
      </w:r>
    </w:p>
    <w:p>
      <w:pPr>
        <w:pStyle w:val="Normal"/>
        <w:spacing w:lineRule="auto" w:line="360"/>
        <w:rPr/>
      </w:pPr>
      <w:r>
        <w:rPr>
          <w:rFonts w:eastAsia="PalatinoLinotype" w:ascii="Times New Roman" w:hAnsi="Times New Roman"/>
          <w:sz w:val="24"/>
          <w:szCs w:val="24"/>
        </w:rPr>
        <w:t>11. MODELO DE GESTÃO DO CONTRATO E CRITÉRIOS DE MEDIÇÃO E PAGAMENTO</w:t>
      </w:r>
    </w:p>
    <w:p>
      <w:pPr>
        <w:pStyle w:val="Normal"/>
        <w:spacing w:lineRule="auto" w:line="360"/>
        <w:rPr/>
      </w:pPr>
      <w:r>
        <w:rPr>
          <w:rFonts w:eastAsia="PalatinoLinotype" w:ascii="Times New Roman" w:hAnsi="Times New Roman"/>
          <w:sz w:val="24"/>
          <w:szCs w:val="24"/>
        </w:rPr>
        <w:t>11.1. Os atores envolvidos na gestão e fiscalização contratual estão elencados abaixo:</w:t>
      </w:r>
    </w:p>
    <w:p>
      <w:pPr>
        <w:pStyle w:val="Normal"/>
        <w:spacing w:lineRule="auto" w:line="360"/>
        <w:rPr>
          <w:rFonts w:eastAsia="PalatinoLinotype"/>
        </w:rPr>
      </w:pPr>
      <w:r>
        <w:rPr>
          <w:rFonts w:eastAsia="PalatinoLinotype" w:ascii="Times New Roman" w:hAnsi="Times New Roman"/>
          <w:sz w:val="24"/>
          <w:szCs w:val="24"/>
        </w:rPr>
        <w:tab/>
        <w:t>11.1.1. 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pPr>
        <w:pStyle w:val="Normal"/>
        <w:spacing w:lineRule="auto" w:line="360"/>
        <w:rPr/>
      </w:pPr>
      <w:r>
        <w:rPr>
          <w:rFonts w:eastAsia="PalatinoLinotype" w:ascii="Times New Roman" w:hAnsi="Times New Roman"/>
          <w:sz w:val="24"/>
          <w:szCs w:val="24"/>
        </w:rPr>
        <w:tab/>
        <w:t>11.1.2. As comunicações serão realizadas via e-mail, carta registrada (AR), ou dependendo da emergencialidade ou necessidade da celeridade da informação via telefone, sendo que a Contratada deverá o tratamento adequado as solicitações em todas as formas de comunicação elencadas.</w:t>
      </w:r>
    </w:p>
    <w:p>
      <w:pPr>
        <w:pStyle w:val="Normal"/>
        <w:spacing w:lineRule="auto" w:line="360"/>
        <w:rPr/>
      </w:pPr>
      <w:r>
        <w:rPr>
          <w:rFonts w:eastAsia="PalatinoLinotype" w:ascii="Times New Roman" w:hAnsi="Times New Roman"/>
          <w:sz w:val="24"/>
          <w:szCs w:val="24"/>
        </w:rPr>
        <w:t>12. UNIFORMES</w:t>
      </w:r>
    </w:p>
    <w:p>
      <w:pPr>
        <w:pStyle w:val="Normal"/>
        <w:spacing w:lineRule="auto" w:line="360"/>
        <w:rPr/>
      </w:pPr>
      <w:r>
        <w:rPr>
          <w:rFonts w:eastAsia="PalatinoLinotype" w:ascii="Times New Roman" w:hAnsi="Times New Roman"/>
          <w:sz w:val="24"/>
          <w:szCs w:val="24"/>
        </w:rPr>
        <w:t>12.1. Os uniformes a serem fornecidos pela Contratada a seus empregados deverão ser condizentes com a atividade a ser desempenhada no órgão Contratante e ao clima da cidade onde serviço será prestado, compreendendo peças para todas as estações climáticas do ano, sem qualquer repasse do custo para o empregado.</w:t>
      </w:r>
    </w:p>
    <w:p>
      <w:pPr>
        <w:pStyle w:val="Normal"/>
        <w:tabs>
          <w:tab w:val="left" w:pos="0" w:leader="none"/>
        </w:tabs>
        <w:spacing w:lineRule="auto" w:line="360"/>
        <w:rPr>
          <w:rFonts w:ascii="Times New Roman" w:hAnsi="Times New Roman"/>
          <w:sz w:val="24"/>
          <w:szCs w:val="24"/>
        </w:rPr>
      </w:pPr>
      <w:r>
        <w:rPr>
          <w:rFonts w:ascii="Times New Roman" w:hAnsi="Times New Roman"/>
          <w:sz w:val="24"/>
          <w:szCs w:val="24"/>
        </w:rPr>
        <w:t xml:space="preserve">12.2. Os uniformes deverão ser confeccionados com tecidos de boa qualidade, que permitam a boa mobilidade dos colaboradores, devendo ser resistentes, para não desbotarem, não rasgarem e não devem ser transparentes. </w:t>
      </w:r>
    </w:p>
    <w:p>
      <w:pPr>
        <w:pStyle w:val="Normal"/>
        <w:tabs>
          <w:tab w:val="left" w:pos="0" w:leader="none"/>
        </w:tabs>
        <w:spacing w:lineRule="auto" w:line="360"/>
        <w:rPr>
          <w:color w:val="00000A"/>
        </w:rPr>
      </w:pPr>
      <w:r>
        <w:rPr>
          <w:rFonts w:ascii="Times New Roman" w:hAnsi="Times New Roman"/>
          <w:color w:val="00000A"/>
          <w:sz w:val="24"/>
          <w:szCs w:val="24"/>
        </w:rPr>
        <w:t xml:space="preserve">12.3. Os uniformes deverão conter a identificação da empresa (nome e/ou logotipo) em local visível, pelo menos nas peças que compõem a parte superior do vestuário (impressa ou bordada). </w:t>
      </w:r>
    </w:p>
    <w:p>
      <w:pPr>
        <w:pStyle w:val="Normal"/>
        <w:spacing w:lineRule="auto" w:line="360"/>
        <w:rPr>
          <w:rFonts w:eastAsia="PalatinoLinotype"/>
        </w:rPr>
      </w:pPr>
      <w:r>
        <w:rPr>
          <w:rFonts w:eastAsia="PalatinoLinotype" w:ascii="Times New Roman" w:hAnsi="Times New Roman"/>
          <w:sz w:val="24"/>
          <w:szCs w:val="24"/>
        </w:rPr>
        <w:t>12.4. O fornecimento dos uniformes deverá ser efetivado da seguinte forma:</w:t>
      </w:r>
    </w:p>
    <w:p>
      <w:pPr>
        <w:pStyle w:val="Normal"/>
        <w:tabs>
          <w:tab w:val="left" w:pos="0" w:leader="none"/>
        </w:tabs>
        <w:spacing w:lineRule="auto" w:line="360"/>
        <w:rPr/>
      </w:pPr>
      <w:r>
        <w:rPr>
          <w:rFonts w:eastAsia="PalatinoLinotype" w:ascii="Times New Roman" w:hAnsi="Times New Roman"/>
          <w:sz w:val="24"/>
          <w:szCs w:val="24"/>
        </w:rPr>
        <w:tab/>
        <w:t>12.4.1.</w:t>
      </w:r>
      <w:r>
        <w:rPr>
          <w:rFonts w:eastAsia="PalatinoLinotype" w:cs="PalatinoLinotype" w:ascii="Times New Roman" w:hAnsi="Times New Roman"/>
          <w:color w:val="00000A"/>
          <w:sz w:val="24"/>
          <w:szCs w:val="24"/>
        </w:rPr>
        <w:t xml:space="preserve"> 02 (dois) conjuntos completos ao empregado no início da execução do contrato, devendo ser substituído 01 (um) conjunto completo de uniforme a cada 06 (seis) meses, ou a qualquer época, no prazo máximo de 48 (quarenta e oito) horas, após comunicação escrita da Contratante, sempre que não atendam as condições mínimas de apresentação;</w:t>
      </w:r>
    </w:p>
    <w:p>
      <w:pPr>
        <w:pStyle w:val="Normal"/>
        <w:spacing w:lineRule="auto" w:line="360"/>
        <w:rPr>
          <w:rFonts w:eastAsia="PalatinoLinotype"/>
        </w:rPr>
      </w:pPr>
      <w:r>
        <w:rPr>
          <w:rFonts w:eastAsia="PalatinoLinotype" w:ascii="Times New Roman" w:hAnsi="Times New Roman"/>
          <w:sz w:val="24"/>
          <w:szCs w:val="24"/>
        </w:rPr>
        <w:tab/>
        <w:t>12.4.2. No caso de empregada gestante, os uniformes deverão ser apropriados para a situação, substituindo-os sempre que estiverem apertados;</w:t>
      </w:r>
    </w:p>
    <w:p>
      <w:pPr>
        <w:pStyle w:val="Normal"/>
        <w:spacing w:lineRule="auto" w:line="360"/>
        <w:rPr/>
      </w:pPr>
      <w:r>
        <w:rPr>
          <w:rFonts w:eastAsia="PalatinoLinotype" w:ascii="Times New Roman" w:hAnsi="Times New Roman"/>
          <w:sz w:val="24"/>
          <w:szCs w:val="24"/>
        </w:rPr>
        <w:t>12.5. Os uniformes deverão ser entregues mediante recibo, cuja cópia, devidamente acompanhada do original para conferência, deverá ser enviada ao empregado responsável pela fiscalização do contrato.</w:t>
      </w:r>
    </w:p>
    <w:p>
      <w:pPr>
        <w:pStyle w:val="Normal"/>
        <w:tabs>
          <w:tab w:val="left" w:pos="0" w:leader="none"/>
        </w:tabs>
        <w:spacing w:lineRule="auto" w:line="360"/>
        <w:rPr/>
      </w:pPr>
      <w:r>
        <w:rPr>
          <w:rFonts w:ascii="Times New Roman" w:hAnsi="Times New Roman"/>
          <w:sz w:val="24"/>
          <w:szCs w:val="24"/>
        </w:rPr>
        <w:t>12.6. Quadro de uniformes</w:t>
      </w:r>
    </w:p>
    <w:p>
      <w:pPr>
        <w:pStyle w:val="Normal"/>
        <w:tabs>
          <w:tab w:val="left" w:pos="0" w:leader="none"/>
        </w:tabs>
        <w:spacing w:lineRule="auto" w:line="360"/>
        <w:rPr>
          <w:rFonts w:ascii="Times New Roman" w:hAnsi="Times New Roman"/>
          <w:sz w:val="24"/>
          <w:szCs w:val="24"/>
        </w:rPr>
      </w:pPr>
      <w:r>
        <w:rPr>
          <w:rFonts w:ascii="Times New Roman" w:hAnsi="Times New Roman"/>
          <w:sz w:val="24"/>
          <w:szCs w:val="24"/>
        </w:rPr>
      </w:r>
    </w:p>
    <w:tbl>
      <w:tblPr>
        <w:tblW w:w="9209"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2263"/>
        <w:gridCol w:w="1877"/>
        <w:gridCol w:w="5069"/>
      </w:tblGrid>
      <w:tr>
        <w:trPr>
          <w:trHeight w:val="450"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0" w:leader="none"/>
              </w:tabs>
              <w:jc w:val="center"/>
              <w:rPr>
                <w:rFonts w:ascii="Times New Roman" w:hAnsi="Times New Roman"/>
                <w:sz w:val="24"/>
                <w:szCs w:val="24"/>
              </w:rPr>
            </w:pPr>
            <w:r>
              <w:rPr>
                <w:rFonts w:ascii="Times New Roman" w:hAnsi="Times New Roman"/>
                <w:b/>
                <w:bCs/>
                <w:sz w:val="24"/>
                <w:szCs w:val="24"/>
              </w:rPr>
              <w:t>AUXILIAR DE SERVIÇOS GERAIS</w:t>
            </w:r>
          </w:p>
        </w:tc>
      </w:tr>
      <w:tr>
        <w:trPr>
          <w:trHeight w:val="509"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b/>
                <w:bCs/>
                <w:sz w:val="24"/>
                <w:szCs w:val="24"/>
              </w:rPr>
              <w:t>MASCULINO E FEMININO</w:t>
            </w:r>
          </w:p>
        </w:tc>
      </w:tr>
      <w:tr>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b/>
                <w:bCs/>
                <w:sz w:val="24"/>
                <w:szCs w:val="24"/>
              </w:rPr>
              <w:t>Item</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b/>
                <w:bCs/>
                <w:sz w:val="24"/>
                <w:szCs w:val="24"/>
              </w:rPr>
              <w:t>Quantidade</w:t>
            </w:r>
          </w:p>
          <w:p>
            <w:pPr>
              <w:pStyle w:val="Normal"/>
              <w:tabs>
                <w:tab w:val="left" w:pos="0" w:leader="none"/>
              </w:tabs>
              <w:jc w:val="center"/>
              <w:rPr>
                <w:rFonts w:ascii="Times New Roman" w:hAnsi="Times New Roman"/>
                <w:sz w:val="24"/>
                <w:szCs w:val="24"/>
              </w:rPr>
            </w:pPr>
            <w:r>
              <w:rPr>
                <w:rFonts w:ascii="Times New Roman" w:hAnsi="Times New Roman"/>
                <w:b/>
                <w:bCs/>
                <w:sz w:val="24"/>
                <w:szCs w:val="24"/>
              </w:rPr>
              <w:t>Semestral</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b/>
                <w:bCs/>
                <w:sz w:val="24"/>
                <w:szCs w:val="24"/>
                <w:shd w:fill="FFFFFF" w:val="clear"/>
              </w:rPr>
              <w:t>Especificações</w:t>
            </w:r>
          </w:p>
        </w:tc>
      </w:tr>
      <w:tr>
        <w:trPr>
          <w:trHeight w:val="1251"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rFonts w:ascii="Times New Roman" w:hAnsi="Times New Roman"/>
                <w:sz w:val="24"/>
                <w:szCs w:val="24"/>
              </w:rPr>
            </w:pPr>
            <w:r>
              <w:rPr>
                <w:rFonts w:ascii="Times New Roman" w:hAnsi="Times New Roman"/>
                <w:sz w:val="24"/>
                <w:szCs w:val="24"/>
              </w:rPr>
              <w:t>Camisa manga curta</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sz w:val="24"/>
                <w:szCs w:val="24"/>
              </w:rPr>
              <w:t>3</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Web"/>
              <w:tabs>
                <w:tab w:val="left" w:pos="0" w:leader="none"/>
              </w:tabs>
              <w:spacing w:before="280" w:after="280"/>
              <w:jc w:val="both"/>
              <w:rPr>
                <w:rFonts w:ascii="Times New Roman" w:hAnsi="Times New Roman"/>
                <w:sz w:val="24"/>
                <w:szCs w:val="24"/>
              </w:rPr>
            </w:pPr>
            <w:r>
              <w:rPr>
                <w:rFonts w:cs="Arial"/>
                <w:sz w:val="24"/>
                <w:szCs w:val="24"/>
              </w:rPr>
              <w:t>Camiseta malha fria com gola simples, de mangas curtas, sem abotoamento, com logomarca da empresa;</w:t>
            </w:r>
          </w:p>
        </w:tc>
      </w:tr>
      <w:tr>
        <w:trPr>
          <w:trHeight w:val="1002"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rFonts w:ascii="Times New Roman" w:hAnsi="Times New Roman"/>
                <w:sz w:val="24"/>
                <w:szCs w:val="24"/>
              </w:rPr>
            </w:pPr>
            <w:r>
              <w:rPr>
                <w:rFonts w:ascii="Times New Roman" w:hAnsi="Times New Roman"/>
                <w:sz w:val="24"/>
                <w:szCs w:val="24"/>
              </w:rPr>
              <w:t>Calça comprida</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sz w:val="24"/>
                <w:szCs w:val="24"/>
              </w:rPr>
              <w:t>3</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rFonts w:ascii="Times New Roman" w:hAnsi="Times New Roman"/>
                <w:sz w:val="24"/>
                <w:szCs w:val="24"/>
              </w:rPr>
            </w:pPr>
            <w:r>
              <w:rPr>
                <w:rFonts w:ascii="Times New Roman" w:hAnsi="Times New Roman"/>
                <w:sz w:val="24"/>
                <w:szCs w:val="24"/>
              </w:rPr>
              <w:t xml:space="preserve"> </w:t>
            </w:r>
          </w:p>
          <w:p>
            <w:pPr>
              <w:pStyle w:val="Normal"/>
              <w:tabs>
                <w:tab w:val="left" w:pos="0" w:leader="none"/>
              </w:tabs>
              <w:rPr>
                <w:rFonts w:ascii="Times New Roman" w:hAnsi="Times New Roman"/>
                <w:sz w:val="24"/>
                <w:szCs w:val="24"/>
              </w:rPr>
            </w:pPr>
            <w:r>
              <w:rPr>
                <w:rFonts w:ascii="Times New Roman" w:hAnsi="Times New Roman"/>
                <w:sz w:val="24"/>
                <w:szCs w:val="24"/>
              </w:rPr>
              <w:t>Calça comprida com elástico e cordão, em tecido brim;</w:t>
            </w:r>
          </w:p>
        </w:tc>
      </w:tr>
      <w:tr>
        <w:trPr>
          <w:trHeight w:val="39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rFonts w:ascii="Times New Roman" w:hAnsi="Times New Roman"/>
                <w:sz w:val="24"/>
                <w:szCs w:val="24"/>
              </w:rPr>
            </w:pPr>
            <w:r>
              <w:rPr>
                <w:rFonts w:ascii="Times New Roman" w:hAnsi="Times New Roman"/>
                <w:sz w:val="24"/>
                <w:szCs w:val="24"/>
              </w:rPr>
              <w:t xml:space="preserve">Par de meias </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sz w:val="24"/>
                <w:szCs w:val="24"/>
              </w:rPr>
              <w:t>4</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rFonts w:ascii="Times New Roman" w:hAnsi="Times New Roman"/>
                <w:sz w:val="24"/>
                <w:szCs w:val="24"/>
              </w:rPr>
            </w:pPr>
            <w:r>
              <w:rPr>
                <w:rFonts w:ascii="Times New Roman" w:hAnsi="Times New Roman"/>
                <w:sz w:val="24"/>
                <w:szCs w:val="24"/>
              </w:rPr>
              <w:t xml:space="preserve">Meia em algodão, tipo soquete; </w:t>
            </w:r>
          </w:p>
        </w:tc>
      </w:tr>
      <w:tr>
        <w:trPr>
          <w:trHeight w:val="120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rFonts w:ascii="Times New Roman" w:hAnsi="Times New Roman"/>
                <w:sz w:val="24"/>
                <w:szCs w:val="24"/>
              </w:rPr>
            </w:pPr>
            <w:r>
              <w:rPr>
                <w:rFonts w:ascii="Times New Roman" w:hAnsi="Times New Roman"/>
                <w:sz w:val="24"/>
                <w:szCs w:val="24"/>
              </w:rPr>
            </w:r>
          </w:p>
          <w:p>
            <w:pPr>
              <w:pStyle w:val="Normal"/>
              <w:tabs>
                <w:tab w:val="left" w:pos="0" w:leader="none"/>
                <w:tab w:val="left" w:pos="2155" w:leader="none"/>
              </w:tabs>
              <w:rPr/>
            </w:pPr>
            <w:r>
              <w:rPr>
                <w:rFonts w:ascii="Times New Roman" w:hAnsi="Times New Roman"/>
                <w:sz w:val="24"/>
                <w:szCs w:val="24"/>
              </w:rPr>
              <w:t>Calçado</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sz w:val="24"/>
                <w:szCs w:val="24"/>
              </w:rPr>
              <w:t>1</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rFonts w:ascii="Times New Roman" w:hAnsi="Times New Roman"/>
                <w:sz w:val="24"/>
                <w:szCs w:val="24"/>
              </w:rPr>
            </w:pPr>
            <w:r>
              <w:rPr>
                <w:rFonts w:ascii="Times New Roman" w:hAnsi="Times New Roman"/>
                <w:sz w:val="24"/>
                <w:szCs w:val="24"/>
              </w:rPr>
              <w:t>Botas, cano curto, solado antideslizante e antiderrapante, para atividades com água, hidro-repelente, com sistema de elástico, antibactérias, cor preto;</w:t>
            </w:r>
          </w:p>
        </w:tc>
      </w:tr>
      <w:tr>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rFonts w:ascii="Times New Roman" w:hAnsi="Times New Roman"/>
                <w:sz w:val="24"/>
                <w:szCs w:val="24"/>
              </w:rPr>
            </w:pPr>
            <w:r>
              <w:rPr>
                <w:rFonts w:ascii="Times New Roman" w:hAnsi="Times New Roman"/>
                <w:sz w:val="24"/>
                <w:szCs w:val="24"/>
              </w:rPr>
              <w:t>Bota de Borracha</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rFonts w:ascii="Times New Roman" w:hAnsi="Times New Roman"/>
                <w:sz w:val="24"/>
                <w:szCs w:val="24"/>
              </w:rPr>
            </w:pPr>
            <w:r>
              <w:rPr>
                <w:rFonts w:ascii="Times New Roman" w:hAnsi="Times New Roman"/>
                <w:sz w:val="24"/>
                <w:szCs w:val="24"/>
              </w:rPr>
              <w:t>1**</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rFonts w:ascii="Times New Roman" w:hAnsi="Times New Roman"/>
                <w:sz w:val="24"/>
                <w:szCs w:val="24"/>
              </w:rPr>
            </w:pPr>
            <w:r>
              <w:rPr>
                <w:rFonts w:ascii="Times New Roman" w:hAnsi="Times New Roman"/>
                <w:sz w:val="24"/>
                <w:szCs w:val="24"/>
              </w:rPr>
              <w:t>Bota de borracha para limpeza com solado antiderrapante.</w:t>
            </w:r>
          </w:p>
          <w:p>
            <w:pPr>
              <w:pStyle w:val="Normal"/>
              <w:tabs>
                <w:tab w:val="left" w:pos="0" w:leader="none"/>
              </w:tabs>
              <w:rPr>
                <w:rFonts w:ascii="Times New Roman" w:hAnsi="Times New Roman"/>
                <w:sz w:val="24"/>
                <w:szCs w:val="24"/>
              </w:rPr>
            </w:pPr>
            <w:r>
              <w:rPr>
                <w:rFonts w:ascii="Times New Roman" w:hAnsi="Times New Roman"/>
                <w:sz w:val="24"/>
                <w:szCs w:val="24"/>
              </w:rPr>
            </w:r>
          </w:p>
        </w:tc>
      </w:tr>
    </w:tbl>
    <w:p>
      <w:pPr>
        <w:pStyle w:val="Estilo1"/>
        <w:numPr>
          <w:ilvl w:val="0"/>
          <w:numId w:val="0"/>
        </w:numPr>
        <w:tabs>
          <w:tab w:val="left" w:pos="0" w:leader="none"/>
          <w:tab w:val="left" w:pos="851" w:leader="none"/>
        </w:tabs>
        <w:suppressAutoHyphens w:val="false"/>
        <w:rPr/>
      </w:pPr>
      <w:r>
        <w:rPr>
          <w:rFonts w:ascii="Times New Roman" w:hAnsi="Times New Roman"/>
          <w:b w:val="false"/>
          <w:bCs w:val="false"/>
          <w:sz w:val="20"/>
          <w:szCs w:val="20"/>
        </w:rPr>
        <w:t xml:space="preserve">** O item </w:t>
      </w:r>
      <w:r>
        <w:rPr>
          <w:rFonts w:ascii="Times New Roman" w:hAnsi="Times New Roman"/>
          <w:b/>
          <w:bCs/>
          <w:sz w:val="20"/>
          <w:szCs w:val="20"/>
        </w:rPr>
        <w:t>botas de borracha</w:t>
      </w:r>
      <w:r>
        <w:rPr>
          <w:rFonts w:ascii="Times New Roman" w:hAnsi="Times New Roman"/>
          <w:b w:val="false"/>
          <w:bCs w:val="false"/>
          <w:sz w:val="20"/>
          <w:szCs w:val="20"/>
        </w:rPr>
        <w:t xml:space="preserve"> será entregue na quantidade de </w:t>
      </w:r>
      <w:r>
        <w:rPr>
          <w:rFonts w:ascii="Times New Roman" w:hAnsi="Times New Roman"/>
          <w:b/>
          <w:bCs/>
          <w:sz w:val="20"/>
          <w:szCs w:val="20"/>
          <w:u w:val="single"/>
        </w:rPr>
        <w:t>01 (um) par ao ano</w:t>
      </w:r>
      <w:r>
        <w:rPr>
          <w:rFonts w:ascii="Times New Roman" w:hAnsi="Times New Roman"/>
          <w:b w:val="false"/>
          <w:bCs w:val="false"/>
          <w:sz w:val="20"/>
          <w:szCs w:val="20"/>
        </w:rPr>
        <w:t xml:space="preserve">, respeitando-se as demais normas </w:t>
      </w:r>
    </w:p>
    <w:p>
      <w:pPr>
        <w:pStyle w:val="Estilo1"/>
        <w:numPr>
          <w:ilvl w:val="0"/>
          <w:numId w:val="0"/>
        </w:numPr>
        <w:tabs>
          <w:tab w:val="left" w:pos="0" w:leader="none"/>
          <w:tab w:val="left" w:pos="851" w:leader="none"/>
        </w:tabs>
        <w:suppressAutoHyphens w:val="false"/>
        <w:rPr/>
      </w:pPr>
      <w:r>
        <w:rPr>
          <w:rFonts w:ascii="Times New Roman" w:hAnsi="Times New Roman"/>
          <w:b w:val="false"/>
          <w:bCs w:val="false"/>
          <w:sz w:val="20"/>
          <w:szCs w:val="20"/>
        </w:rPr>
        <w:t>acerca da qualidade dos materiais, substituição em caso de defeitos ou desgastes, independente do prazo estabelecido.</w:t>
      </w:r>
    </w:p>
    <w:p>
      <w:pPr>
        <w:pStyle w:val="Estilo1"/>
        <w:numPr>
          <w:ilvl w:val="0"/>
          <w:numId w:val="0"/>
        </w:numPr>
        <w:tabs>
          <w:tab w:val="left" w:pos="0" w:leader="none"/>
          <w:tab w:val="left" w:pos="851" w:leader="none"/>
        </w:tabs>
        <w:suppressAutoHyphens w:val="false"/>
        <w:rPr>
          <w:rFonts w:ascii="Times New Roman" w:hAnsi="Times New Roman"/>
          <w:b w:val="false"/>
          <w:b w:val="false"/>
          <w:bCs w:val="false"/>
          <w:sz w:val="24"/>
          <w:szCs w:val="24"/>
        </w:rPr>
      </w:pPr>
      <w:r>
        <w:rPr>
          <w:rFonts w:ascii="Times New Roman" w:hAnsi="Times New Roman"/>
          <w:b w:val="false"/>
          <w:bCs w:val="false"/>
          <w:sz w:val="24"/>
          <w:szCs w:val="24"/>
        </w:rPr>
      </w:r>
    </w:p>
    <w:p>
      <w:pPr>
        <w:pStyle w:val="Estilo1"/>
        <w:numPr>
          <w:ilvl w:val="0"/>
          <w:numId w:val="0"/>
        </w:numPr>
        <w:tabs>
          <w:tab w:val="left" w:pos="0" w:leader="none"/>
          <w:tab w:val="left" w:pos="851" w:leader="none"/>
        </w:tabs>
        <w:suppressAutoHyphens w:val="false"/>
        <w:rPr>
          <w:rFonts w:ascii="Times New Roman" w:hAnsi="Times New Roman"/>
          <w:b w:val="false"/>
          <w:b w:val="false"/>
          <w:bCs w:val="false"/>
          <w:sz w:val="24"/>
          <w:szCs w:val="24"/>
        </w:rPr>
      </w:pPr>
      <w:r>
        <w:rPr>
          <w:rFonts w:ascii="Times New Roman" w:hAnsi="Times New Roman"/>
          <w:b w:val="false"/>
          <w:bCs w:val="false"/>
          <w:sz w:val="24"/>
          <w:szCs w:val="24"/>
        </w:rPr>
      </w:r>
    </w:p>
    <w:tbl>
      <w:tblPr>
        <w:tblW w:w="9209"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2263"/>
        <w:gridCol w:w="1877"/>
        <w:gridCol w:w="5069"/>
      </w:tblGrid>
      <w:tr>
        <w:trPr>
          <w:trHeight w:val="450"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0" w:leader="none"/>
              </w:tabs>
              <w:jc w:val="center"/>
              <w:rPr/>
            </w:pPr>
            <w:r>
              <w:rPr>
                <w:rFonts w:ascii="Times New Roman" w:hAnsi="Times New Roman"/>
                <w:b/>
                <w:bCs/>
                <w:sz w:val="24"/>
                <w:szCs w:val="24"/>
              </w:rPr>
              <w:t>COPEIRA</w:t>
            </w:r>
          </w:p>
        </w:tc>
      </w:tr>
      <w:tr>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b/>
                <w:bCs/>
                <w:sz w:val="24"/>
                <w:szCs w:val="24"/>
              </w:rPr>
              <w:t>Item</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b/>
                <w:bCs/>
                <w:sz w:val="24"/>
                <w:szCs w:val="24"/>
              </w:rPr>
              <w:t>Quantidade</w:t>
            </w:r>
          </w:p>
          <w:p>
            <w:pPr>
              <w:pStyle w:val="Normal"/>
              <w:tabs>
                <w:tab w:val="left" w:pos="0" w:leader="none"/>
              </w:tabs>
              <w:jc w:val="center"/>
              <w:rPr/>
            </w:pPr>
            <w:r>
              <w:rPr>
                <w:rFonts w:ascii="Times New Roman" w:hAnsi="Times New Roman"/>
                <w:b/>
                <w:bCs/>
                <w:sz w:val="24"/>
                <w:szCs w:val="24"/>
              </w:rPr>
              <w:t>Semestral</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b/>
                <w:bCs/>
                <w:sz w:val="24"/>
                <w:szCs w:val="24"/>
                <w:shd w:fill="FFFFFF" w:val="clear"/>
              </w:rPr>
              <w:t>Especificações</w:t>
            </w:r>
          </w:p>
        </w:tc>
      </w:tr>
      <w:tr>
        <w:trPr>
          <w:trHeight w:val="1149"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pPr>
            <w:r>
              <w:rPr>
                <w:rFonts w:ascii="Times New Roman" w:hAnsi="Times New Roman"/>
                <w:sz w:val="24"/>
                <w:szCs w:val="24"/>
              </w:rPr>
              <w:t>Calça social</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sz w:val="24"/>
                <w:szCs w:val="24"/>
              </w:rPr>
              <w:t>3</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spacing w:before="280" w:after="280"/>
              <w:jc w:val="both"/>
              <w:rPr>
                <w:rFonts w:cs="Arial"/>
                <w:sz w:val="24"/>
                <w:szCs w:val="24"/>
              </w:rPr>
            </w:pPr>
            <w:r>
              <w:rPr>
                <w:rFonts w:cs="Arial" w:ascii="Times New Roman" w:hAnsi="Times New Roman"/>
                <w:b w:val="false"/>
                <w:i w:val="false"/>
                <w:strike w:val="false"/>
                <w:dstrike w:val="false"/>
                <w:outline w:val="false"/>
                <w:shadow w:val="false"/>
                <w:sz w:val="24"/>
                <w:szCs w:val="24"/>
                <w:u w:val="none"/>
                <w:em w:val="none"/>
              </w:rPr>
              <w:t>Cal</w:t>
            </w:r>
            <w:r>
              <w:rPr>
                <w:rFonts w:ascii="Times New Roman" w:hAnsi="Times New Roman"/>
                <w:b w:val="false"/>
                <w:i w:val="false"/>
                <w:strike w:val="false"/>
                <w:dstrike w:val="false"/>
                <w:outline w:val="false"/>
                <w:shadow w:val="false"/>
                <w:sz w:val="24"/>
                <w:u w:val="none"/>
                <w:em w:val="none"/>
              </w:rPr>
              <w:t>ça social feminina reta, cintura alta, fechamento frontal por botão e zíper, na cor azul escuro, em oxford ou brim.</w:t>
            </w:r>
          </w:p>
        </w:tc>
      </w:tr>
      <w:tr>
        <w:trPr>
          <w:trHeight w:val="1002"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pPr>
            <w:r>
              <w:rPr>
                <w:rFonts w:ascii="Times New Roman" w:hAnsi="Times New Roman"/>
                <w:sz w:val="24"/>
                <w:szCs w:val="24"/>
              </w:rPr>
              <w:t>Jaleco</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sz w:val="24"/>
                <w:szCs w:val="24"/>
              </w:rPr>
              <w:t>3</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pPr>
            <w:r>
              <w:rPr>
                <w:rFonts w:ascii="Times New Roman" w:hAnsi="Times New Roman"/>
                <w:b w:val="false"/>
                <w:i w:val="false"/>
                <w:strike w:val="false"/>
                <w:dstrike w:val="false"/>
                <w:outline w:val="false"/>
                <w:shadow w:val="false"/>
                <w:sz w:val="24"/>
                <w:szCs w:val="24"/>
                <w:u w:val="none"/>
                <w:em w:val="none"/>
              </w:rPr>
              <w:t xml:space="preserve">Jaleco na cor azul escuro, com 3 bolsos frontais chapados. </w:t>
            </w:r>
            <w:r>
              <w:rPr>
                <w:rFonts w:ascii="Times New Roman" w:hAnsi="Times New Roman"/>
                <w:b w:val="false"/>
                <w:i w:val="false"/>
                <w:strike w:val="false"/>
                <w:dstrike w:val="false"/>
                <w:outline w:val="false"/>
                <w:shadow w:val="false"/>
                <w:sz w:val="24"/>
                <w:u w:val="none"/>
                <w:em w:val="none"/>
              </w:rPr>
              <w:t>Manga curta. Detalhe em viés branco ou bordado inglês nas mangas e gola. Gola alfaiate. Fechamento frontal por 4 botões.</w:t>
            </w:r>
          </w:p>
        </w:tc>
      </w:tr>
      <w:tr>
        <w:trPr>
          <w:trHeight w:val="39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pPr>
            <w:r>
              <w:rPr>
                <w:rFonts w:ascii="Times New Roman" w:hAnsi="Times New Roman"/>
                <w:sz w:val="24"/>
                <w:szCs w:val="24"/>
              </w:rPr>
              <w:t>Par de meias</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sz w:val="24"/>
                <w:szCs w:val="24"/>
              </w:rPr>
              <w:t>4</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pPr>
            <w:r>
              <w:rPr>
                <w:rFonts w:ascii="Times New Roman" w:hAnsi="Times New Roman"/>
                <w:sz w:val="24"/>
                <w:szCs w:val="24"/>
              </w:rPr>
              <w:t xml:space="preserve">Meia em algodão, tipo soquete; </w:t>
            </w:r>
          </w:p>
        </w:tc>
      </w:tr>
      <w:tr>
        <w:trPr>
          <w:trHeight w:val="120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 w:val="left" w:pos="2155" w:leader="none"/>
              </w:tabs>
              <w:rPr/>
            </w:pPr>
            <w:r>
              <w:rPr>
                <w:rFonts w:ascii="Times New Roman" w:hAnsi="Times New Roman"/>
                <w:sz w:val="24"/>
                <w:szCs w:val="24"/>
              </w:rPr>
              <w:t>Sapato fechado</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jc w:val="center"/>
              <w:rPr/>
            </w:pPr>
            <w:r>
              <w:rPr>
                <w:rFonts w:ascii="Times New Roman" w:hAnsi="Times New Roman"/>
                <w:sz w:val="24"/>
                <w:szCs w:val="24"/>
              </w:rPr>
              <w:t>1</w:t>
            </w:r>
          </w:p>
        </w:tc>
        <w:tc>
          <w:tcPr>
            <w:tcW w:w="50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0" w:leader="none"/>
              </w:tabs>
              <w:rPr/>
            </w:pPr>
            <w:r>
              <w:rPr>
                <w:rFonts w:ascii="Times New Roman" w:hAnsi="Times New Roman"/>
                <w:sz w:val="24"/>
                <w:szCs w:val="24"/>
              </w:rPr>
              <w:t>Botas, cano curto, solado antideslizante e antiderrapante, para atividades com água, hidro-repelente, com sistema de elástico, antibactérias, cor preto;</w:t>
            </w:r>
          </w:p>
        </w:tc>
      </w:tr>
    </w:tbl>
    <w:p>
      <w:pPr>
        <w:pStyle w:val="Nivel1"/>
        <w:numPr>
          <w:ilvl w:val="0"/>
          <w:numId w:val="0"/>
        </w:numPr>
        <w:rPr/>
      </w:pPr>
      <w:r>
        <w:rPr>
          <w:rFonts w:ascii="Times New Roman" w:hAnsi="Times New Roman"/>
          <w:b w:val="false"/>
          <w:bCs w:val="false"/>
          <w:sz w:val="24"/>
          <w:szCs w:val="24"/>
        </w:rPr>
        <w:t>13.</w:t>
        <w:tab/>
        <w:t>MATERIAIS A SEREM DISPONIBILIZADOS</w:t>
      </w:r>
    </w:p>
    <w:p>
      <w:pPr>
        <w:pStyle w:val="Normal"/>
        <w:spacing w:lineRule="auto" w:line="360" w:before="120" w:after="120"/>
        <w:rPr>
          <w:rFonts w:ascii="Times New Roman" w:hAnsi="Times New Roman"/>
          <w:sz w:val="24"/>
          <w:szCs w:val="24"/>
        </w:rPr>
      </w:pPr>
      <w:r>
        <w:rPr>
          <w:rFonts w:ascii="Times New Roman" w:hAnsi="Times New Roman"/>
          <w:sz w:val="24"/>
          <w:szCs w:val="24"/>
        </w:rPr>
        <w:t>13.1 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ormal"/>
        <w:jc w:val="center"/>
        <w:rPr>
          <w:rFonts w:eastAsia="PalatinoLinotype"/>
          <w:sz w:val="23"/>
          <w:szCs w:val="23"/>
        </w:rPr>
      </w:pPr>
      <w:r>
        <w:rPr>
          <w:rFonts w:eastAsia="PalatinoLinotype" w:ascii="Times New Roman" w:hAnsi="Times New Roman"/>
          <w:sz w:val="24"/>
          <w:szCs w:val="24"/>
        </w:rPr>
        <w:t>RELAÇÃO BÁSICA DOS MATERIAIS DE LIMPEZA, HIGIENE</w:t>
      </w:r>
    </w:p>
    <w:p>
      <w:pPr>
        <w:pStyle w:val="Normal"/>
        <w:tabs>
          <w:tab w:val="left" w:pos="0" w:leader="none"/>
        </w:tabs>
        <w:rPr>
          <w:rFonts w:ascii="Times New Roman" w:hAnsi="Times New Roman"/>
          <w:sz w:val="24"/>
          <w:szCs w:val="24"/>
        </w:rPr>
      </w:pPr>
      <w:r>
        <w:rPr>
          <w:rFonts w:ascii="Times New Roman" w:hAnsi="Times New Roman"/>
          <w:sz w:val="24"/>
          <w:szCs w:val="24"/>
        </w:rPr>
      </w:r>
    </w:p>
    <w:tbl>
      <w:tblPr>
        <w:tblW w:w="9135" w:type="dxa"/>
        <w:jc w:val="left"/>
        <w:tblInd w:w="3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0" w:noVBand="0" w:lastRow="0" w:firstColumn="0" w:lastColumn="0" w:noHBand="0" w:val="0000"/>
      </w:tblPr>
      <w:tblGrid>
        <w:gridCol w:w="9135"/>
      </w:tblGrid>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jc w:val="center"/>
              <w:rPr/>
            </w:pPr>
            <w:r>
              <w:rPr>
                <w:b/>
                <w:bCs/>
                <w:sz w:val="18"/>
                <w:szCs w:val="18"/>
              </w:rPr>
              <w:t>Material</w:t>
            </w:r>
          </w:p>
        </w:tc>
      </w:tr>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Álcool, de 1</w:t>
            </w:r>
            <w:r>
              <w:rPr>
                <w:rFonts w:ascii="Times New Roman" w:hAnsi="Times New Roman"/>
                <w:b w:val="false"/>
                <w:i w:val="false"/>
                <w:strike w:val="false"/>
                <w:dstrike w:val="false"/>
                <w:outline w:val="false"/>
                <w:shadow w:val="false"/>
                <w:sz w:val="24"/>
                <w:u w:val="none"/>
                <w:em w:val="none"/>
              </w:rPr>
              <w:t>ª qualidade, 46,3° INPM. Frasco de 1 litro, com registro ANVISA</w:t>
            </w:r>
          </w:p>
        </w:tc>
      </w:tr>
      <w:tr>
        <w:trPr>
          <w:trHeight w:val="72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color w:val="000000"/>
                <w:sz w:val="24"/>
                <w:szCs w:val="24"/>
                <w:u w:val="none"/>
                <w:em w:val="none"/>
              </w:rPr>
              <w:t>Álcool gel de 1</w:t>
            </w:r>
            <w:r>
              <w:rPr>
                <w:rFonts w:ascii="Times New Roman" w:hAnsi="Times New Roman"/>
                <w:b w:val="false"/>
                <w:i w:val="false"/>
                <w:strike w:val="false"/>
                <w:dstrike w:val="false"/>
                <w:outline w:val="false"/>
                <w:shadow w:val="false"/>
                <w:color w:val="000000"/>
                <w:sz w:val="24"/>
                <w:u w:val="none"/>
                <w:em w:val="none"/>
              </w:rPr>
              <w:t xml:space="preserve">ª qualidade, álcool etílico hidratado 65° INPM, frasco 500ml com registro ANVISA </w:t>
            </w:r>
            <w:r>
              <w:rPr>
                <w:rFonts w:ascii="Times New Roman" w:hAnsi="Times New Roman"/>
                <w:b/>
                <w:i w:val="false"/>
                <w:strike w:val="false"/>
                <w:dstrike w:val="false"/>
                <w:outline w:val="false"/>
                <w:shadow w:val="false"/>
                <w:color w:val="000000"/>
                <w:sz w:val="24"/>
                <w:u w:val="none"/>
                <w:em w:val="none"/>
              </w:rPr>
              <w:t>.</w:t>
            </w:r>
          </w:p>
        </w:tc>
      </w:tr>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Água sanit</w:t>
            </w:r>
            <w:r>
              <w:rPr>
                <w:rFonts w:ascii="Times New Roman" w:hAnsi="Times New Roman"/>
                <w:b w:val="false"/>
                <w:i w:val="false"/>
                <w:strike w:val="false"/>
                <w:dstrike w:val="false"/>
                <w:outline w:val="false"/>
                <w:shadow w:val="false"/>
                <w:sz w:val="24"/>
                <w:u w:val="none"/>
                <w:em w:val="none"/>
              </w:rPr>
              <w:t>ária de 1ª qualidade com registro ANVISA.</w:t>
            </w:r>
          </w:p>
        </w:tc>
      </w:tr>
      <w:tr>
        <w:trPr>
          <w:trHeight w:val="37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rFonts w:ascii="Times New Roman" w:hAnsi="Times New Roman"/>
                <w:sz w:val="24"/>
                <w:szCs w:val="24"/>
              </w:rPr>
            </w:pPr>
            <w:r>
              <w:rPr>
                <w:rFonts w:ascii="Times New Roman" w:hAnsi="Times New Roman"/>
                <w:b w:val="false"/>
                <w:i w:val="false"/>
                <w:strike w:val="false"/>
                <w:dstrike w:val="false"/>
                <w:outline w:val="false"/>
                <w:shadow w:val="false"/>
                <w:sz w:val="24"/>
                <w:szCs w:val="24"/>
                <w:u w:val="none"/>
                <w:em w:val="none"/>
              </w:rPr>
              <w:t>Adubo orgânico</w:t>
            </w:r>
          </w:p>
        </w:tc>
      </w:tr>
      <w:tr>
        <w:trPr>
          <w:trHeight w:val="42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Balde pl</w:t>
            </w:r>
            <w:r>
              <w:rPr>
                <w:rFonts w:ascii="Times New Roman" w:hAnsi="Times New Roman"/>
                <w:b w:val="false"/>
                <w:i w:val="false"/>
                <w:strike w:val="false"/>
                <w:dstrike w:val="false"/>
                <w:outline w:val="false"/>
                <w:shadow w:val="false"/>
                <w:sz w:val="24"/>
                <w:u w:val="none"/>
                <w:em w:val="none"/>
              </w:rPr>
              <w:t xml:space="preserve">ástico preto com capacidade p/ 12 litros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Cera l</w:t>
            </w:r>
            <w:r>
              <w:rPr>
                <w:rFonts w:ascii="Times New Roman" w:hAnsi="Times New Roman"/>
                <w:b w:val="false"/>
                <w:i w:val="false"/>
                <w:strike w:val="false"/>
                <w:dstrike w:val="false"/>
                <w:outline w:val="false"/>
                <w:shadow w:val="false"/>
                <w:sz w:val="24"/>
                <w:u w:val="none"/>
                <w:em w:val="none"/>
              </w:rPr>
              <w:t>íquida preta para piso emborrachado (cera de carnaúba), secagem rápida e despensa uso de enceradeira.</w:t>
            </w:r>
          </w:p>
          <w:p>
            <w:pPr>
              <w:pStyle w:val="Normal"/>
              <w:jc w:val="left"/>
              <w:rPr>
                <w:rFonts w:ascii="Times New Roman" w:hAnsi="Times New Roman"/>
                <w:sz w:val="24"/>
                <w:szCs w:val="24"/>
              </w:rPr>
            </w:pPr>
            <w:r>
              <w:rPr>
                <w:rFonts w:ascii="Times New Roman" w:hAnsi="Times New Roman"/>
                <w:sz w:val="24"/>
                <w:szCs w:val="24"/>
              </w:rPr>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 xml:space="preserve">Desentupidor de Pias sanfonado com cabo de 10 a 20 cm </w:t>
            </w:r>
            <w:r>
              <w:rPr>
                <w:rFonts w:ascii="Times New Roman" w:hAnsi="Times New Roman"/>
                <w:sz w:val="24"/>
                <w:szCs w:val="24"/>
              </w:rPr>
              <w:t xml:space="preserve">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Detergente para lavar lou</w:t>
            </w:r>
            <w:r>
              <w:rPr>
                <w:rFonts w:ascii="Times New Roman" w:hAnsi="Times New Roman"/>
                <w:b w:val="false"/>
                <w:i w:val="false"/>
                <w:strike w:val="false"/>
                <w:dstrike w:val="false"/>
                <w:outline w:val="false"/>
                <w:shadow w:val="false"/>
                <w:sz w:val="24"/>
                <w:u w:val="none"/>
                <w:em w:val="none"/>
              </w:rPr>
              <w:t>ça – 500 ml, 100% biodegradável com Registro ANVISA.</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 xml:space="preserve">Desodorizador de ar, spray,cada unidade contendo 360 a 440 ml, com Registro </w:t>
            </w:r>
            <w:r>
              <w:rPr>
                <w:rFonts w:ascii="Times New Roman" w:hAnsi="Times New Roman"/>
                <w:b w:val="false"/>
                <w:i w:val="false"/>
                <w:strike w:val="false"/>
                <w:dstrike w:val="false"/>
                <w:outline w:val="false"/>
                <w:shadow w:val="false"/>
                <w:sz w:val="24"/>
                <w:u w:val="none"/>
                <w:em w:val="none"/>
              </w:rPr>
              <w:t>ANVISA, não agressivo à camada de ozônio.</w:t>
            </w:r>
          </w:p>
        </w:tc>
      </w:tr>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Escova de m</w:t>
            </w:r>
            <w:r>
              <w:rPr>
                <w:rFonts w:ascii="Times New Roman" w:hAnsi="Times New Roman"/>
                <w:b w:val="false"/>
                <w:i w:val="false"/>
                <w:strike w:val="false"/>
                <w:dstrike w:val="false"/>
                <w:outline w:val="false"/>
                <w:shadow w:val="false"/>
                <w:sz w:val="24"/>
                <w:u w:val="none"/>
                <w:em w:val="none"/>
              </w:rPr>
              <w:t>ão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color w:val="000000"/>
                <w:sz w:val="24"/>
                <w:szCs w:val="24"/>
                <w:u w:val="none"/>
                <w:em w:val="none"/>
              </w:rPr>
              <w:t>Esponja dupla face verde/amarelo</w:t>
            </w:r>
          </w:p>
        </w:tc>
      </w:tr>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Espuma limpadora instant</w:t>
            </w:r>
            <w:r>
              <w:rPr>
                <w:rFonts w:ascii="Times New Roman" w:hAnsi="Times New Roman"/>
                <w:b w:val="false"/>
                <w:i w:val="false"/>
                <w:strike w:val="false"/>
                <w:dstrike w:val="false"/>
                <w:outline w:val="false"/>
                <w:shadow w:val="false"/>
                <w:sz w:val="24"/>
                <w:u w:val="none"/>
                <w:em w:val="none"/>
              </w:rPr>
              <w:t>ânea para monitor</w:t>
            </w:r>
          </w:p>
        </w:tc>
      </w:tr>
      <w:tr>
        <w:trPr>
          <w:trHeight w:val="48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color w:val="000000"/>
                <w:sz w:val="24"/>
                <w:szCs w:val="24"/>
                <w:u w:val="none"/>
                <w:em w:val="none"/>
              </w:rPr>
              <w:t>Flanela grande de 1</w:t>
            </w:r>
            <w:r>
              <w:rPr>
                <w:rFonts w:ascii="Times New Roman" w:hAnsi="Times New Roman"/>
                <w:b w:val="false"/>
                <w:i w:val="false"/>
                <w:strike w:val="false"/>
                <w:dstrike w:val="false"/>
                <w:outline w:val="false"/>
                <w:shadow w:val="false"/>
                <w:color w:val="000000"/>
                <w:sz w:val="24"/>
                <w:u w:val="none"/>
                <w:em w:val="none"/>
              </w:rPr>
              <w:t>ª qualidade, medindo 30 x 40 cm, cor branca.</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Limpador cremoso multi</w:t>
            </w:r>
            <w:r>
              <w:rPr>
                <w:rFonts w:ascii="Times New Roman" w:hAnsi="Times New Roman"/>
                <w:b w:val="false"/>
                <w:i w:val="false"/>
                <w:strike w:val="false"/>
                <w:dstrike w:val="false"/>
                <w:outline w:val="false"/>
                <w:shadow w:val="false"/>
                <w:sz w:val="24"/>
                <w:u w:val="none"/>
                <w:em w:val="none"/>
              </w:rPr>
              <w:t>úso, embalagem de 250ml – CIF ou similar</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rFonts w:ascii="Times New Roman" w:hAnsi="Times New Roman"/>
              </w:rPr>
            </w:pPr>
            <w:r>
              <w:rPr>
                <w:rFonts w:ascii="Times New Roman" w:hAnsi="Times New Roman"/>
                <w:b w:val="false"/>
                <w:i w:val="false"/>
                <w:strike w:val="false"/>
                <w:dstrike w:val="false"/>
                <w:outline w:val="false"/>
                <w:shadow w:val="false"/>
                <w:sz w:val="24"/>
                <w:szCs w:val="24"/>
                <w:u w:val="none"/>
                <w:em w:val="none"/>
              </w:rPr>
              <w:t>Limpador l</w:t>
            </w:r>
            <w:r>
              <w:rPr>
                <w:rFonts w:ascii="Times New Roman" w:hAnsi="Times New Roman"/>
                <w:b w:val="false"/>
                <w:i w:val="false"/>
                <w:strike w:val="false"/>
                <w:dstrike w:val="false"/>
                <w:outline w:val="false"/>
                <w:shadow w:val="false"/>
                <w:sz w:val="24"/>
                <w:u w:val="none"/>
                <w:em w:val="none"/>
              </w:rPr>
              <w:t>íquido multiúso concentrado – Veja ou similar</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rFonts w:ascii="Times New Roman" w:hAnsi="Times New Roman"/>
              </w:rPr>
            </w:pPr>
            <w:r>
              <w:rPr>
                <w:rFonts w:ascii="Times New Roman" w:hAnsi="Times New Roman"/>
              </w:rPr>
              <w:t>Limpa alumínio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Lustra moveis multisuperf</w:t>
            </w:r>
            <w:r>
              <w:rPr>
                <w:rFonts w:ascii="Times New Roman" w:hAnsi="Times New Roman"/>
                <w:b w:val="false"/>
                <w:i w:val="false"/>
                <w:strike w:val="false"/>
                <w:dstrike w:val="false"/>
                <w:outline w:val="false"/>
                <w:shadow w:val="false"/>
                <w:sz w:val="24"/>
                <w:u w:val="none"/>
                <w:em w:val="none"/>
              </w:rPr>
              <w:t>ícies 200 ml</w:t>
            </w:r>
            <w:r>
              <w:rPr>
                <w:rFonts w:ascii="Times New Roman" w:hAnsi="Times New Roman"/>
                <w:sz w:val="24"/>
                <w:szCs w:val="24"/>
              </w:rPr>
              <w:t xml:space="preserve">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Luva de l</w:t>
            </w:r>
            <w:r>
              <w:rPr>
                <w:rFonts w:ascii="Times New Roman" w:hAnsi="Times New Roman"/>
                <w:b w:val="false"/>
                <w:i w:val="false"/>
                <w:strike w:val="false"/>
                <w:dstrike w:val="false"/>
                <w:outline w:val="false"/>
                <w:shadow w:val="false"/>
                <w:sz w:val="24"/>
                <w:u w:val="none"/>
                <w:em w:val="none"/>
              </w:rPr>
              <w:t>átex natural de 1° qualidade</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 xml:space="preserve">Limpa vidros concentrado 500 ml </w:t>
            </w:r>
            <w:r>
              <w:rPr>
                <w:rFonts w:ascii="Times New Roman" w:hAnsi="Times New Roman"/>
                <w:b w:val="false"/>
                <w:i w:val="false"/>
                <w:strike w:val="false"/>
                <w:dstrike w:val="false"/>
                <w:outline w:val="false"/>
                <w:shadow w:val="false"/>
                <w:sz w:val="24"/>
                <w:u w:val="none"/>
                <w:em w:val="none"/>
              </w:rPr>
              <w:t>– Duratto, Veja, 3M ou similar.</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Mascara contra p</w:t>
            </w:r>
            <w:r>
              <w:rPr>
                <w:rFonts w:ascii="Times New Roman" w:hAnsi="Times New Roman"/>
                <w:b w:val="false"/>
                <w:i w:val="false"/>
                <w:strike w:val="false"/>
                <w:dstrike w:val="false"/>
                <w:outline w:val="false"/>
                <w:shadow w:val="false"/>
                <w:sz w:val="24"/>
                <w:u w:val="none"/>
                <w:em w:val="none"/>
              </w:rPr>
              <w:t>ó (para cada servente)</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P</w:t>
            </w:r>
            <w:r>
              <w:rPr>
                <w:rFonts w:ascii="Times New Roman" w:hAnsi="Times New Roman"/>
                <w:b w:val="false"/>
                <w:i w:val="false"/>
                <w:strike w:val="false"/>
                <w:dstrike w:val="false"/>
                <w:outline w:val="false"/>
                <w:shadow w:val="false"/>
                <w:sz w:val="24"/>
                <w:u w:val="none"/>
                <w:em w:val="none"/>
              </w:rPr>
              <w:t>á coletora em material plástico, com cabo longo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Papel higi</w:t>
            </w:r>
            <w:r>
              <w:rPr>
                <w:rFonts w:ascii="Times New Roman" w:hAnsi="Times New Roman"/>
                <w:b w:val="false"/>
                <w:i w:val="false"/>
                <w:strike w:val="false"/>
                <w:dstrike w:val="false"/>
                <w:outline w:val="false"/>
                <w:shadow w:val="false"/>
                <w:sz w:val="24"/>
                <w:u w:val="none"/>
                <w:em w:val="none"/>
              </w:rPr>
              <w:t>ênico macio, de 1ª qualidade, folha dupla picotada, rolo com 30 metros  contendo, fardo com 64 rolos, 100% fibra celulósica. Certificação FSC ou equivalente. - Neve ou similar.</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Papel toalha, interfolhado, macio, hidrossol</w:t>
            </w:r>
            <w:r>
              <w:rPr>
                <w:rFonts w:ascii="Times New Roman" w:hAnsi="Times New Roman"/>
                <w:b w:val="false"/>
                <w:i w:val="false"/>
                <w:strike w:val="false"/>
                <w:dstrike w:val="false"/>
                <w:outline w:val="false"/>
                <w:shadow w:val="false"/>
                <w:sz w:val="24"/>
                <w:u w:val="none"/>
                <w:em w:val="none"/>
              </w:rPr>
              <w:t>úvel, feito com 100% de celulose na cor branca, folha dupla, de 1ª qualidade  - Certificação FSC ou equivalente.</w:t>
            </w:r>
          </w:p>
        </w:tc>
      </w:tr>
      <w:tr>
        <w:trPr>
          <w:trHeight w:val="450"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Pastilha sanitaria com Registro ANVISA.</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 xml:space="preserve">Rodo com 2 borrachas </w:t>
            </w:r>
            <w:r>
              <w:rPr>
                <w:rFonts w:ascii="Times New Roman" w:hAnsi="Times New Roman"/>
                <w:b w:val="false"/>
                <w:i w:val="false"/>
                <w:strike w:val="false"/>
                <w:dstrike w:val="false"/>
                <w:outline w:val="false"/>
                <w:shadow w:val="false"/>
                <w:sz w:val="24"/>
                <w:u w:val="none"/>
                <w:em w:val="none"/>
              </w:rPr>
              <w:t>– 60 cm de largura, com cabo.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u w:val="none"/>
                <w:em w:val="none"/>
              </w:rPr>
              <w:t>Saco de pano para chão na cor branca.(alvejado)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Sab</w:t>
            </w:r>
            <w:r>
              <w:rPr>
                <w:rFonts w:ascii="Times New Roman" w:hAnsi="Times New Roman"/>
                <w:b w:val="false"/>
                <w:i w:val="false"/>
                <w:strike w:val="false"/>
                <w:dstrike w:val="false"/>
                <w:outline w:val="false"/>
                <w:shadow w:val="false"/>
                <w:sz w:val="24"/>
                <w:u w:val="none"/>
                <w:em w:val="none"/>
              </w:rPr>
              <w:t>ão em barra de 1° qualidade – pacote com barras de 200 g, totalizando 1 Kg. 100% biodegradável com Registro ANVISA.</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rFonts w:ascii="Times New Roman" w:hAnsi="Times New Roman"/>
                <w:sz w:val="24"/>
                <w:szCs w:val="24"/>
              </w:rPr>
            </w:pPr>
            <w:r>
              <w:rPr>
                <w:rFonts w:ascii="Times New Roman" w:hAnsi="Times New Roman"/>
                <w:b w:val="false"/>
                <w:i w:val="false"/>
                <w:strike w:val="false"/>
                <w:dstrike w:val="false"/>
                <w:outline w:val="false"/>
                <w:shadow w:val="false"/>
                <w:color w:val="000000"/>
                <w:sz w:val="24"/>
                <w:szCs w:val="24"/>
                <w:u w:val="none"/>
                <w:em w:val="none"/>
              </w:rPr>
              <w:t>Sab</w:t>
            </w:r>
            <w:r>
              <w:rPr>
                <w:rFonts w:ascii="Times New Roman" w:hAnsi="Times New Roman"/>
                <w:b w:val="false"/>
                <w:i w:val="false"/>
                <w:strike w:val="false"/>
                <w:dstrike w:val="false"/>
                <w:outline w:val="false"/>
                <w:shadow w:val="false"/>
                <w:color w:val="000000"/>
                <w:sz w:val="24"/>
                <w:u w:val="none"/>
                <w:em w:val="none"/>
              </w:rPr>
              <w:t>ão em pó 100% biodegradável com Registro ANVISA</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color w:val="000000"/>
                <w:sz w:val="24"/>
                <w:szCs w:val="24"/>
                <w:u w:val="none"/>
                <w:em w:val="none"/>
              </w:rPr>
              <w:t xml:space="preserve">Sabonete liquido </w:t>
            </w:r>
            <w:r>
              <w:rPr>
                <w:rFonts w:ascii="Times New Roman" w:hAnsi="Times New Roman"/>
                <w:b w:val="false"/>
                <w:i w:val="false"/>
                <w:strike w:val="false"/>
                <w:dstrike w:val="false"/>
                <w:outline w:val="false"/>
                <w:shadow w:val="false"/>
                <w:color w:val="000000"/>
                <w:sz w:val="24"/>
                <w:u w:val="none"/>
                <w:em w:val="none"/>
              </w:rPr>
              <w:t>100% biodegradável com Registro ANVISA</w:t>
            </w:r>
            <w:r>
              <w:rPr>
                <w:rFonts w:ascii="Times New Roman" w:hAnsi="Times New Roman"/>
                <w:sz w:val="24"/>
                <w:szCs w:val="24"/>
              </w:rPr>
              <w:t xml:space="preserve">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 xml:space="preserve">Saco para lixo de 15 litros, cada pacote com 100 unidades, cor preta. Material </w:t>
            </w:r>
            <w:r>
              <w:rPr>
                <w:rFonts w:ascii="Times New Roman" w:hAnsi="Times New Roman"/>
                <w:b w:val="false"/>
                <w:i w:val="false"/>
                <w:strike w:val="false"/>
                <w:dstrike w:val="false"/>
                <w:outline w:val="false"/>
                <w:shadow w:val="false"/>
                <w:sz w:val="24"/>
                <w:u w:val="none"/>
                <w:em w:val="none"/>
              </w:rPr>
              <w:t xml:space="preserve">reciclado ou reciclável.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 xml:space="preserve">Saco para lixo de 50 litros, cada pacote com 100 unidades, cor preta. Material </w:t>
            </w:r>
            <w:r>
              <w:rPr>
                <w:rFonts w:ascii="Times New Roman" w:hAnsi="Times New Roman"/>
                <w:b w:val="false"/>
                <w:i w:val="false"/>
                <w:strike w:val="false"/>
                <w:dstrike w:val="false"/>
                <w:outline w:val="false"/>
                <w:shadow w:val="false"/>
                <w:sz w:val="24"/>
                <w:u w:val="none"/>
                <w:em w:val="none"/>
              </w:rPr>
              <w:t xml:space="preserve">reciclado ou reciclável. </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rFonts w:ascii="Times New Roman" w:hAnsi="Times New Roman"/>
                <w:sz w:val="24"/>
                <w:szCs w:val="24"/>
              </w:rPr>
            </w:pPr>
            <w:r>
              <w:rPr>
                <w:rFonts w:ascii="Times New Roman" w:hAnsi="Times New Roman"/>
                <w:b w:val="false"/>
                <w:i w:val="false"/>
                <w:strike w:val="false"/>
                <w:dstrike w:val="false"/>
                <w:outline w:val="false"/>
                <w:shadow w:val="false"/>
                <w:sz w:val="24"/>
                <w:szCs w:val="24"/>
                <w:u w:val="none"/>
                <w:em w:val="none"/>
              </w:rPr>
              <w:t>Saco pl</w:t>
            </w:r>
            <w:r>
              <w:rPr>
                <w:rFonts w:ascii="Times New Roman" w:hAnsi="Times New Roman"/>
                <w:b w:val="false"/>
                <w:i w:val="false"/>
                <w:strike w:val="false"/>
                <w:dstrike w:val="false"/>
                <w:outline w:val="false"/>
                <w:shadow w:val="false"/>
                <w:sz w:val="24"/>
                <w:u w:val="none"/>
                <w:em w:val="none"/>
              </w:rPr>
              <w:t>ástico para lixo 100 l, cada pacote com 100 unidades, cor preta. Material reciclado ou reciclável.</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rPr/>
            </w:pPr>
            <w:r>
              <w:rPr>
                <w:rFonts w:ascii="Times New Roman" w:hAnsi="Times New Roman"/>
                <w:sz w:val="24"/>
                <w:szCs w:val="24"/>
              </w:rPr>
              <w:t>Pano de prato de 1ª qualidade</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Vassoura de teto, vasculho</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Vassoura de nylon, cabo de 35 cm</w:t>
            </w:r>
            <w:r>
              <w:rPr>
                <w:rFonts w:ascii="Times New Roman" w:hAnsi="Times New Roman"/>
                <w:b w:val="false"/>
                <w:i w:val="false"/>
                <w:strike w:val="false"/>
                <w:dstrike w:val="false"/>
                <w:outline w:val="false"/>
                <w:shadow w:val="false"/>
                <w:sz w:val="24"/>
                <w:u w:val="none"/>
                <w:em w:val="none"/>
              </w:rPr>
              <w:t xml:space="preserve"> </w:t>
            </w:r>
          </w:p>
        </w:tc>
      </w:tr>
      <w:tr>
        <w:trPr>
          <w:trHeight w:val="316"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bidi w:val="0"/>
              <w:jc w:val="left"/>
              <w:rPr/>
            </w:pPr>
            <w:r>
              <w:rPr>
                <w:rFonts w:ascii="Times New Roman" w:hAnsi="Times New Roman"/>
                <w:b w:val="false"/>
                <w:i w:val="false"/>
                <w:strike w:val="false"/>
                <w:dstrike w:val="false"/>
                <w:outline w:val="false"/>
                <w:shadow w:val="false"/>
                <w:sz w:val="24"/>
                <w:szCs w:val="24"/>
                <w:u w:val="none"/>
                <w:em w:val="none"/>
              </w:rPr>
              <w:t>Vassoura de pelo 40 cm c/ cabo de madeira</w:t>
            </w:r>
            <w:r>
              <w:rPr>
                <w:rFonts w:ascii="Times New Roman" w:hAnsi="Times New Roman"/>
                <w:b w:val="false"/>
                <w:i w:val="false"/>
                <w:strike w:val="false"/>
                <w:dstrike w:val="false"/>
                <w:outline w:val="false"/>
                <w:shadow w:val="false"/>
                <w:sz w:val="24"/>
                <w:u w:val="none"/>
                <w:em w:val="none"/>
              </w:rPr>
              <w:t>.</w:t>
            </w:r>
          </w:p>
        </w:tc>
      </w:tr>
      <w:tr>
        <w:trPr>
          <w:trHeight w:val="255" w:hRule="atLeast"/>
        </w:trPr>
        <w:tc>
          <w:tcPr>
            <w:tcW w:w="9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jc w:val="left"/>
              <w:rPr/>
            </w:pPr>
            <w:r>
              <w:rPr>
                <w:rFonts w:ascii="Times New Roman" w:hAnsi="Times New Roman"/>
                <w:b w:val="false"/>
                <w:i w:val="false"/>
                <w:strike w:val="false"/>
                <w:dstrike w:val="false"/>
                <w:outline w:val="false"/>
                <w:shadow w:val="false"/>
                <w:sz w:val="24"/>
                <w:szCs w:val="24"/>
                <w:u w:val="none"/>
                <w:em w:val="none"/>
              </w:rPr>
              <w:t xml:space="preserve">Vassourinha para limpar vaso </w:t>
            </w:r>
          </w:p>
        </w:tc>
      </w:tr>
    </w:tbl>
    <w:p>
      <w:pPr>
        <w:pStyle w:val="Normal"/>
        <w:tabs>
          <w:tab w:val="left" w:pos="0" w:leader="none"/>
        </w:tabs>
        <w:rPr>
          <w:rFonts w:ascii="Times New Roman" w:hAnsi="Times New Roman"/>
          <w:sz w:val="24"/>
          <w:szCs w:val="24"/>
        </w:rPr>
      </w:pPr>
      <w:r>
        <w:rPr>
          <w:rFonts w:ascii="Times New Roman" w:hAnsi="Times New Roman"/>
          <w:sz w:val="24"/>
          <w:szCs w:val="24"/>
        </w:rPr>
      </w:r>
    </w:p>
    <w:p>
      <w:pPr>
        <w:pStyle w:val="Western"/>
        <w:spacing w:before="280" w:after="0"/>
        <w:jc w:val="center"/>
        <w:rPr>
          <w:rFonts w:ascii="Arial" w:hAnsi="Arial" w:cs="Arial"/>
          <w:color w:val="000000" w:themeColor="text1"/>
          <w:szCs w:val="22"/>
        </w:rPr>
      </w:pPr>
      <w:r>
        <w:rPr>
          <w:rFonts w:cs="Arial" w:ascii="Times New Roman" w:hAnsi="Times New Roman"/>
          <w:color w:val="000000" w:themeColor="text1"/>
          <w:sz w:val="24"/>
          <w:szCs w:val="24"/>
        </w:rPr>
        <w:t>RELAÇÃO BÁSICA DE EQUIPAMENTOS</w:t>
      </w:r>
    </w:p>
    <w:p>
      <w:pPr>
        <w:pStyle w:val="Normal"/>
        <w:tabs>
          <w:tab w:val="left" w:pos="0" w:leader="none"/>
        </w:tabs>
        <w:rPr>
          <w:rFonts w:ascii="Times New Roman" w:hAnsi="Times New Roman"/>
          <w:sz w:val="24"/>
          <w:szCs w:val="24"/>
        </w:rPr>
      </w:pPr>
      <w:r>
        <w:rPr>
          <w:rFonts w:ascii="Times New Roman" w:hAnsi="Times New Roman"/>
          <w:sz w:val="24"/>
          <w:szCs w:val="24"/>
        </w:rPr>
      </w:r>
    </w:p>
    <w:tbl>
      <w:tblPr>
        <w:tblW w:w="9180" w:type="dxa"/>
        <w:jc w:val="left"/>
        <w:tblInd w:w="-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0" w:noVBand="0" w:lastRow="0" w:firstColumn="0" w:lastColumn="0" w:noHBand="0" w:val="0000"/>
      </w:tblPr>
      <w:tblGrid>
        <w:gridCol w:w="9180"/>
      </w:tblGrid>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Western"/>
              <w:spacing w:before="280" w:after="0"/>
              <w:jc w:val="center"/>
              <w:rPr>
                <w:rFonts w:ascii="Arial" w:hAnsi="Arial" w:cs="Arial"/>
              </w:rPr>
            </w:pPr>
            <w:r>
              <w:rPr>
                <w:rFonts w:cs="Arial" w:ascii="Times New Roman" w:hAnsi="Times New Roman"/>
                <w:sz w:val="24"/>
                <w:szCs w:val="24"/>
              </w:rPr>
              <w:t>EQUIPAMENTO</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20" w:before="280" w:after="119"/>
              <w:rPr/>
            </w:pPr>
            <w:r>
              <w:rPr>
                <w:rFonts w:cs="Arial" w:ascii="Times New Roman" w:hAnsi="Times New Roman"/>
                <w:b w:val="false"/>
                <w:i w:val="false"/>
                <w:strike w:val="false"/>
                <w:dstrike w:val="false"/>
                <w:outline w:val="false"/>
                <w:shadow w:val="false"/>
                <w:sz w:val="24"/>
                <w:szCs w:val="24"/>
                <w:u w:val="none"/>
                <w:em w:val="none"/>
              </w:rPr>
              <w:t>Mini-cavalete em polipropileno sinalizador para piso molhado.</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20" w:before="280" w:after="119"/>
              <w:rPr/>
            </w:pPr>
            <w:r>
              <w:rPr>
                <w:rFonts w:cs="Arial" w:ascii="Times New Roman" w:hAnsi="Times New Roman"/>
                <w:b w:val="false"/>
                <w:i w:val="false"/>
                <w:strike w:val="false"/>
                <w:dstrike w:val="false"/>
                <w:outline w:val="false"/>
                <w:shadow w:val="false"/>
                <w:sz w:val="24"/>
                <w:szCs w:val="24"/>
                <w:u w:val="none"/>
                <w:em w:val="none"/>
              </w:rPr>
              <w:t>Aspirador de p</w:t>
            </w:r>
            <w:r>
              <w:rPr>
                <w:rFonts w:ascii="Times New Roman" w:hAnsi="Times New Roman"/>
                <w:b w:val="false"/>
                <w:i w:val="false"/>
                <w:strike w:val="false"/>
                <w:dstrike w:val="false"/>
                <w:outline w:val="false"/>
                <w:shadow w:val="false"/>
                <w:sz w:val="24"/>
                <w:u w:val="none"/>
                <w:em w:val="none"/>
              </w:rPr>
              <w:t>ó.</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20" w:before="280" w:after="119"/>
              <w:rPr/>
            </w:pPr>
            <w:r>
              <w:rPr>
                <w:rFonts w:cs="Arial" w:ascii="Times New Roman" w:hAnsi="Times New Roman"/>
                <w:b w:val="false"/>
                <w:i w:val="false"/>
                <w:strike w:val="false"/>
                <w:dstrike w:val="false"/>
                <w:outline w:val="false"/>
                <w:shadow w:val="false"/>
                <w:sz w:val="24"/>
                <w:szCs w:val="24"/>
                <w:u w:val="none"/>
                <w:em w:val="none"/>
              </w:rPr>
              <w:t>Escada de aluminio refor</w:t>
            </w:r>
            <w:r>
              <w:rPr>
                <w:rFonts w:ascii="Times New Roman" w:hAnsi="Times New Roman"/>
                <w:b w:val="false"/>
                <w:i w:val="false"/>
                <w:strike w:val="false"/>
                <w:dstrike w:val="false"/>
                <w:outline w:val="false"/>
                <w:shadow w:val="false"/>
                <w:sz w:val="24"/>
                <w:u w:val="none"/>
                <w:em w:val="none"/>
              </w:rPr>
              <w:t>çada, tipo cavalete, com 7 degraus.</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05" w:before="280" w:after="119"/>
              <w:rPr/>
            </w:pPr>
            <w:r>
              <w:rPr>
                <w:rFonts w:cs="Arial" w:ascii="Times New Roman" w:hAnsi="Times New Roman"/>
                <w:b w:val="false"/>
                <w:i w:val="false"/>
                <w:strike w:val="false"/>
                <w:dstrike w:val="false"/>
                <w:outline w:val="false"/>
                <w:shadow w:val="false"/>
                <w:sz w:val="24"/>
                <w:szCs w:val="24"/>
                <w:u w:val="none"/>
                <w:em w:val="none"/>
              </w:rPr>
              <w:t>Extens</w:t>
            </w:r>
            <w:r>
              <w:rPr>
                <w:rFonts w:ascii="Times New Roman" w:hAnsi="Times New Roman"/>
                <w:b w:val="false"/>
                <w:i w:val="false"/>
                <w:strike w:val="false"/>
                <w:dstrike w:val="false"/>
                <w:outline w:val="false"/>
                <w:shadow w:val="false"/>
                <w:sz w:val="24"/>
                <w:u w:val="none"/>
                <w:em w:val="none"/>
              </w:rPr>
              <w:t>ão eletrica reforçada, composta de cabo 2,5 mm, plugs reforçados, com 20 m de comprimento.</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05" w:before="280" w:after="119"/>
              <w:rPr/>
            </w:pPr>
            <w:r>
              <w:rPr>
                <w:rFonts w:ascii="Times New Roman" w:hAnsi="Times New Roman"/>
                <w:b w:val="false"/>
                <w:i w:val="false"/>
                <w:strike w:val="false"/>
                <w:dstrike w:val="false"/>
                <w:outline w:val="false"/>
                <w:shadow w:val="false"/>
                <w:sz w:val="24"/>
                <w:u w:val="none"/>
                <w:em w:val="none"/>
              </w:rPr>
              <w:t>Mangueira para jardim com suporte, plástica trançada, com 25 metros de comprimento, esguicho e acessórios, 1/2 polegada.</w:t>
            </w:r>
          </w:p>
        </w:tc>
      </w:tr>
      <w:tr>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tLeast" w:line="105" w:before="280" w:after="119"/>
              <w:rPr/>
            </w:pPr>
            <w:r>
              <w:rPr>
                <w:rFonts w:ascii="Times New Roman" w:hAnsi="Times New Roman"/>
                <w:b w:val="false"/>
                <w:i w:val="false"/>
                <w:strike w:val="false"/>
                <w:dstrike w:val="false"/>
                <w:outline w:val="false"/>
                <w:shadow w:val="false"/>
                <w:sz w:val="24"/>
                <w:u w:val="none"/>
                <w:em w:val="none"/>
              </w:rPr>
              <w:t>Roçadeira elétrica 220V.</w:t>
            </w:r>
          </w:p>
        </w:tc>
      </w:tr>
    </w:tbl>
    <w:p>
      <w:pPr>
        <w:pStyle w:val="Normal"/>
        <w:tabs>
          <w:tab w:val="left" w:pos="0" w:leader="none"/>
        </w:tabs>
        <w:rPr>
          <w:rFonts w:ascii="Times New Roman" w:hAnsi="Times New Roman"/>
          <w:sz w:val="24"/>
          <w:szCs w:val="24"/>
        </w:rPr>
      </w:pPr>
      <w:r>
        <w:rPr>
          <w:rFonts w:ascii="Times New Roman" w:hAnsi="Times New Roman"/>
          <w:sz w:val="24"/>
          <w:szCs w:val="24"/>
        </w:rPr>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13.2. Todo o material de consumo, utensílios e equipamentos necessários à execução dos serviços serão fornecidos pela Contratada em quantidade e qualidade, podendo ser solicitada pela Contratante conforme a eficiência e sustentabilidade, e que poderá recusar aqueles cuja qualidade não satisfaça as necessidades e o padrão desejável.</w:t>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13.3. Para execução do serviço contratado, serão necessários, “no mínimo, materiais de limpeza e utensílios, ficando sob responsabilidade da Contratada o fornecimento de quaisquer outros materiais e equipamentos necessários a execução dos serviços, que não estejam relacionados.</w:t>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 xml:space="preserve">13.4. As quantidades relacionadas são </w:t>
      </w:r>
      <w:r>
        <w:rPr>
          <w:rFonts w:ascii="Times New Roman" w:hAnsi="Times New Roman"/>
          <w:sz w:val="24"/>
          <w:szCs w:val="24"/>
          <w:u w:val="single"/>
        </w:rPr>
        <w:t>estimativas</w:t>
      </w:r>
      <w:r>
        <w:rPr>
          <w:rFonts w:ascii="Times New Roman" w:hAnsi="Times New Roman"/>
          <w:sz w:val="24"/>
          <w:szCs w:val="24"/>
        </w:rPr>
        <w:t xml:space="preserve"> e podem sofrer alterações de acordo com as necessidades da Contratante.</w:t>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13.5. Os equipamentos a serem fornecidos pela Contratada deverão ser disponibilizados, novos de primeiro uso e deverão ser fornecidos com antecedência de 10 (dez) dias corridos, anteriores a data de início da execução dos serviços e deverão ser substituídos sempre que apresentarem defeito e necessitarem de manutenção corretiva.</w:t>
      </w:r>
    </w:p>
    <w:p>
      <w:pPr>
        <w:pStyle w:val="Normal"/>
        <w:spacing w:lineRule="auto" w:line="276" w:before="120" w:after="120"/>
        <w:rPr>
          <w:rFonts w:ascii="Times New Roman" w:hAnsi="Times New Roman"/>
          <w:sz w:val="24"/>
          <w:szCs w:val="24"/>
        </w:rPr>
      </w:pPr>
      <w:r>
        <w:rPr>
          <w:rFonts w:ascii="Times New Roman" w:hAnsi="Times New Roman"/>
          <w:sz w:val="24"/>
          <w:szCs w:val="24"/>
        </w:rPr>
        <w:t>13.6.</w:t>
        <w:tab/>
        <w:t>Os materiais de limpeza deverão ser fornecidos mensalmente até o quinto dia útil, sendo que o primeiro fornecimento deverá ser efetivado com antecedência de 10 (dez) dias corridos, anteriores a data de início da execução dos serviços.</w:t>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 xml:space="preserve">13.7. O material/equipamento deverá possuir identificação patrimonial do licitante vencedor, de forma a não serem confundidos com similares de propriedade da CODEVASF e/ou de outra empresa prestadora de serviço. </w:t>
      </w:r>
    </w:p>
    <w:p>
      <w:pPr>
        <w:pStyle w:val="ListParagraph"/>
        <w:spacing w:lineRule="auto" w:line="276" w:before="120" w:after="120"/>
        <w:ind w:left="0" w:hanging="0"/>
        <w:rPr>
          <w:rFonts w:ascii="Times New Roman" w:hAnsi="Times New Roman"/>
          <w:sz w:val="24"/>
          <w:szCs w:val="24"/>
        </w:rPr>
      </w:pPr>
      <w:r>
        <w:rPr>
          <w:rFonts w:ascii="Times New Roman" w:hAnsi="Times New Roman"/>
          <w:sz w:val="24"/>
          <w:szCs w:val="24"/>
        </w:rPr>
        <w:t xml:space="preserve">13.8. A retirada de qualquer máquina e equipamento disponibilizado para execução do serviço deverá ser comunicada, por escrito, ao Gestor do Contrato. </w:t>
      </w:r>
    </w:p>
    <w:p>
      <w:pPr>
        <w:pStyle w:val="ListParagraph"/>
        <w:spacing w:lineRule="auto" w:line="276" w:before="120" w:after="120"/>
        <w:ind w:left="0" w:hanging="0"/>
        <w:rPr/>
      </w:pPr>
      <w:r>
        <w:rPr>
          <w:rFonts w:ascii="Times New Roman" w:hAnsi="Times New Roman"/>
          <w:sz w:val="24"/>
          <w:szCs w:val="24"/>
        </w:rPr>
        <w:t>13.9. Os serviços e materiais especificados neste Termo de Referência não excluem outros, que, porventura se façam necessários à boa execução dos serviços, obrigando-se a empresa Contratada, a executá-los prontamente, como parte integrante de suas obrigações.</w:t>
      </w:r>
    </w:p>
    <w:p>
      <w:pPr>
        <w:pStyle w:val="ListParagraph"/>
        <w:spacing w:lineRule="auto" w:line="276" w:before="120" w:after="120"/>
        <w:ind w:left="0" w:hanging="0"/>
        <w:rPr/>
      </w:pPr>
      <w:r>
        <w:rPr>
          <w:rFonts w:ascii="Times New Roman" w:hAnsi="Times New Roman"/>
          <w:sz w:val="24"/>
          <w:szCs w:val="24"/>
        </w:rPr>
        <w:t xml:space="preserve">13.10. Todos os produtos relacionados anexo deverão ser de primeira qualidade e armazenados mensalmente, nos quantitativos e demais especificações, no depósito da Contratante até o 5º (quinto) dia de cada mês, acompanhados de cópia da nota fiscal correspondente, exceto os descritos em equipamentos, </w:t>
      </w:r>
      <w:r>
        <w:rPr>
          <w:rFonts w:ascii="Times New Roman" w:hAnsi="Times New Roman"/>
          <w:b/>
          <w:bCs/>
          <w:sz w:val="24"/>
          <w:szCs w:val="24"/>
        </w:rPr>
        <w:t>não poderão ser cotados por ocasião das propostas, pois não serão adquiridos pela administração, devendo ser utilizados conforme a necessidade da Codevasf.</w:t>
      </w:r>
    </w:p>
    <w:p>
      <w:pPr>
        <w:pStyle w:val="ListParagraph"/>
        <w:spacing w:lineRule="auto" w:line="276" w:before="120" w:after="120"/>
        <w:ind w:left="0" w:hanging="0"/>
        <w:rPr>
          <w:rFonts w:ascii="Times New Roman" w:hAnsi="Times New Roman"/>
          <w:b/>
          <w:b/>
          <w:bCs/>
          <w:sz w:val="24"/>
          <w:szCs w:val="24"/>
        </w:rPr>
      </w:pPr>
      <w:r>
        <w:rPr>
          <w:rFonts w:ascii="Times New Roman" w:hAnsi="Times New Roman"/>
          <w:b/>
          <w:bCs/>
          <w:sz w:val="24"/>
          <w:szCs w:val="24"/>
        </w:rPr>
      </w:r>
    </w:p>
    <w:p>
      <w:pPr>
        <w:pStyle w:val="Normal"/>
        <w:spacing w:lineRule="auto" w:line="360"/>
        <w:jc w:val="left"/>
        <w:rPr/>
      </w:pPr>
      <w:r>
        <w:rPr>
          <w:rFonts w:eastAsia="PalatinoLinotype" w:ascii="Times New Roman" w:hAnsi="Times New Roman"/>
          <w:sz w:val="24"/>
          <w:szCs w:val="24"/>
        </w:rPr>
        <w:t xml:space="preserve">14. </w:t>
      </w:r>
      <w:bookmarkStart w:id="1" w:name="__DdeLink__7106_3998348328"/>
      <w:r>
        <w:rPr>
          <w:rFonts w:eastAsia="PalatinoLinotype" w:ascii="Times New Roman" w:hAnsi="Times New Roman"/>
          <w:sz w:val="24"/>
          <w:szCs w:val="24"/>
        </w:rPr>
        <w:t>INÍCIO DA EXECUÇÃO DOS SERVIÇOS</w:t>
      </w:r>
      <w:bookmarkEnd w:id="1"/>
    </w:p>
    <w:p>
      <w:pPr>
        <w:pStyle w:val="Normal"/>
        <w:tabs>
          <w:tab w:val="left" w:pos="0" w:leader="none"/>
        </w:tabs>
        <w:spacing w:lineRule="auto" w:line="360"/>
        <w:rPr/>
      </w:pPr>
      <w:r>
        <w:rPr>
          <w:rFonts w:eastAsia="PalatinoLinotype" w:ascii="Times New Roman" w:hAnsi="Times New Roman"/>
          <w:sz w:val="24"/>
          <w:szCs w:val="24"/>
        </w:rPr>
        <w:t>14.1.</w:t>
      </w:r>
      <w:r>
        <w:rPr>
          <w:rFonts w:ascii="Times New Roman" w:hAnsi="Times New Roman"/>
          <w:sz w:val="24"/>
          <w:szCs w:val="24"/>
        </w:rPr>
        <w:t xml:space="preserve"> A execução dos serviços será iniciada no dia seguinte ao término do contrato anterior, cuja vigência será de 12 (doze) meses, podendo ser prorrogado até o limite de 60 (sessenta) meses, com manifestação prévia e expressa das partes.</w:t>
      </w:r>
    </w:p>
    <w:p>
      <w:pPr>
        <w:pStyle w:val="Normal"/>
        <w:tabs>
          <w:tab w:val="left" w:pos="0" w:leader="none"/>
        </w:tabs>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pPr>
      <w:r>
        <w:rPr>
          <w:rFonts w:eastAsia="PalatinoLinotype" w:ascii="Times New Roman" w:hAnsi="Times New Roman"/>
          <w:sz w:val="24"/>
          <w:szCs w:val="24"/>
        </w:rPr>
        <w:t>15. DA VISTORIA</w:t>
      </w:r>
    </w:p>
    <w:p>
      <w:pPr>
        <w:pStyle w:val="Normal"/>
        <w:spacing w:lineRule="auto" w:line="360"/>
        <w:rPr/>
      </w:pPr>
      <w:r>
        <w:rPr>
          <w:rFonts w:eastAsia="PalatinoLinotype" w:ascii="Times New Roman" w:hAnsi="Times New Roman"/>
          <w:sz w:val="24"/>
          <w:szCs w:val="24"/>
        </w:rPr>
        <w:t xml:space="preserve">15.1. </w:t>
      </w:r>
      <w:r>
        <w:rPr>
          <w:rFonts w:ascii="Times New Roman" w:hAnsi="Times New Roman"/>
          <w:sz w:val="24"/>
          <w:szCs w:val="24"/>
        </w:rPr>
        <w:t>Para o melhor dimensionamento e elaboração de sua proposta, o licitante poderá realizar vistoria nas instalações do local de execução dos serviços, acompanhado por servidor designado para esse fim, de segunda a sexta-feira, das 09h às 11h30 e das 14h00 às 16h30, devendo o agendamento ser efetuado previamente pelo telefone (86) 3215-0123 ou e-mail kivia.martins</w:t>
      </w:r>
      <w:hyperlink r:id="rId3">
        <w:r>
          <w:rPr>
            <w:rStyle w:val="LinkdaInternet"/>
            <w:rFonts w:cs="Arial" w:ascii="Times New Roman" w:hAnsi="Times New Roman"/>
            <w:color w:val="00000A"/>
            <w:sz w:val="24"/>
            <w:szCs w:val="24"/>
            <w:u w:val="none"/>
          </w:rPr>
          <w:t>@codevasf.gov.br</w:t>
        </w:r>
      </w:hyperlink>
      <w:r>
        <w:rPr>
          <w:rFonts w:eastAsia="PalatinoLinotype" w:ascii="Times New Roman" w:hAnsi="Times New Roman"/>
          <w:color w:val="00000A"/>
          <w:sz w:val="24"/>
          <w:szCs w:val="24"/>
          <w:u w:val="none"/>
        </w:rPr>
        <w:t>.</w:t>
      </w:r>
    </w:p>
    <w:p>
      <w:pPr>
        <w:pStyle w:val="Normal"/>
        <w:spacing w:lineRule="auto" w:line="360"/>
        <w:rPr>
          <w:rFonts w:eastAsia="PalatinoLinotype"/>
        </w:rPr>
      </w:pPr>
      <w:r>
        <w:rPr>
          <w:rFonts w:eastAsia="PalatinoLinotype" w:ascii="Times New Roman" w:hAnsi="Times New Roman"/>
          <w:sz w:val="24"/>
          <w:szCs w:val="24"/>
        </w:rPr>
        <w:t>15.2. Nenhuma visita será realizada sem a confirmação de seu agendamento, por e-mail, por parte da Contratante.</w:t>
      </w:r>
    </w:p>
    <w:p>
      <w:pPr>
        <w:pStyle w:val="Normal"/>
        <w:spacing w:lineRule="auto" w:line="360"/>
        <w:rPr>
          <w:rFonts w:eastAsia="PalatinoLinotype"/>
        </w:rPr>
      </w:pPr>
      <w:r>
        <w:rPr>
          <w:rFonts w:eastAsia="PalatinoLinotype" w:ascii="Times New Roman" w:hAnsi="Times New Roman"/>
          <w:sz w:val="24"/>
          <w:szCs w:val="24"/>
        </w:rPr>
        <w:t>15.3. A vistoria é FACULTATIVA, podendo o licitante realizá-la por intermédio de representante legal.</w:t>
      </w:r>
    </w:p>
    <w:p>
      <w:pPr>
        <w:pStyle w:val="Normal"/>
        <w:spacing w:lineRule="auto" w:line="360"/>
        <w:rPr>
          <w:rFonts w:eastAsia="PalatinoLinotype"/>
        </w:rPr>
      </w:pPr>
      <w:r>
        <w:rPr>
          <w:rFonts w:eastAsia="PalatinoLinotype" w:ascii="Times New Roman" w:hAnsi="Times New Roman"/>
          <w:sz w:val="24"/>
          <w:szCs w:val="24"/>
        </w:rPr>
        <w:t>15.4. Para a vistoria, o licitante, ou o seu representante, deverá estar devidamente identificado, e assinará a declaração de vistoria;</w:t>
      </w:r>
    </w:p>
    <w:p>
      <w:pPr>
        <w:pStyle w:val="Normal"/>
        <w:spacing w:lineRule="auto" w:line="360"/>
        <w:rPr/>
      </w:pPr>
      <w:r>
        <w:rPr>
          <w:rFonts w:eastAsia="PalatinoLinotype" w:ascii="Times New Roman" w:hAnsi="Times New Roman"/>
          <w:sz w:val="24"/>
          <w:szCs w:val="24"/>
        </w:rPr>
        <w:t>14.5. O prazo para vistoria iniciar-se-á no dia útil seguinte ao da publicação do Edital, estendendo-se até o dia útil anterior à data prevista para a abertura da sessão pública.</w:t>
      </w:r>
    </w:p>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rPr/>
      </w:pPr>
      <w:r>
        <w:rPr>
          <w:rFonts w:eastAsia="PalatinoLinotype" w:ascii="Times New Roman" w:hAnsi="Times New Roman"/>
          <w:sz w:val="24"/>
          <w:szCs w:val="24"/>
        </w:rPr>
        <w:t>16. OBRIGAÇÕES DA CONTRATANTE:</w:t>
      </w:r>
    </w:p>
    <w:p>
      <w:pPr>
        <w:pStyle w:val="Normal"/>
        <w:spacing w:lineRule="auto" w:line="360"/>
        <w:rPr/>
      </w:pPr>
      <w:r>
        <w:rPr>
          <w:rFonts w:eastAsia="PalatinoLinotype" w:ascii="Times New Roman" w:hAnsi="Times New Roman"/>
          <w:sz w:val="24"/>
          <w:szCs w:val="24"/>
        </w:rPr>
        <w:t>16.1. Exigir o cumprimento de todas as obrigações assumidas pela Contratada, de acordo com as cláusulas contratuais e os termos de sua proposta;</w:t>
      </w:r>
    </w:p>
    <w:p>
      <w:pPr>
        <w:pStyle w:val="Normal"/>
        <w:spacing w:lineRule="auto" w:line="360"/>
        <w:rPr>
          <w:rFonts w:eastAsia="PalatinoLinotype"/>
        </w:rPr>
      </w:pPr>
      <w:r>
        <w:rPr>
          <w:rFonts w:eastAsia="PalatinoLinotype" w:ascii="Times New Roman" w:hAnsi="Times New Roman"/>
          <w:sz w:val="24"/>
          <w:szCs w:val="24"/>
        </w:rPr>
        <w:t>16.2.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spacing w:lineRule="auto" w:line="360"/>
        <w:rPr>
          <w:rFonts w:eastAsia="PalatinoLinotype"/>
        </w:rPr>
      </w:pPr>
      <w:r>
        <w:rPr>
          <w:rFonts w:eastAsia="PalatinoLinotype" w:ascii="Times New Roman" w:hAnsi="Times New Roman"/>
          <w:sz w:val="24"/>
          <w:szCs w:val="24"/>
        </w:rPr>
        <w:t>16.3. Notificar a Contratada por escrito da ocorrência de eventuais imperfeições no curso da execução dos serviços, fixando prazo para a sua correção;</w:t>
      </w:r>
    </w:p>
    <w:p>
      <w:pPr>
        <w:pStyle w:val="Normal"/>
        <w:spacing w:lineRule="auto" w:line="360"/>
        <w:rPr>
          <w:rFonts w:eastAsia="PalatinoLinotype"/>
        </w:rPr>
      </w:pPr>
      <w:r>
        <w:rPr>
          <w:rFonts w:eastAsia="PalatinoLinotype" w:ascii="Times New Roman" w:hAnsi="Times New Roman"/>
          <w:sz w:val="24"/>
          <w:szCs w:val="24"/>
        </w:rPr>
        <w:t>16.4.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spacing w:lineRule="auto" w:line="360"/>
        <w:rPr>
          <w:rFonts w:eastAsia="PalatinoLinotype"/>
        </w:rPr>
      </w:pPr>
      <w:r>
        <w:rPr>
          <w:rFonts w:eastAsia="PalatinoLinotype" w:ascii="Times New Roman" w:hAnsi="Times New Roman"/>
          <w:sz w:val="24"/>
          <w:szCs w:val="24"/>
        </w:rPr>
        <w:t>16.5. Pagar à Contratada o valor resultante da prestação do serviço, no prazo e condições estabelecidas no Edital e seus anexos;</w:t>
      </w:r>
    </w:p>
    <w:p>
      <w:pPr>
        <w:pStyle w:val="Normal"/>
        <w:spacing w:lineRule="auto" w:line="360"/>
        <w:rPr>
          <w:rFonts w:eastAsia="PalatinoLinotype"/>
        </w:rPr>
      </w:pPr>
      <w:r>
        <w:rPr>
          <w:rFonts w:eastAsia="PalatinoLinotype" w:ascii="Times New Roman" w:hAnsi="Times New Roman"/>
          <w:sz w:val="24"/>
          <w:szCs w:val="24"/>
        </w:rPr>
        <w:t>16.6. Não praticar atos de ingerência na administração da Contratada, tais como:</w:t>
      </w:r>
    </w:p>
    <w:p>
      <w:pPr>
        <w:pStyle w:val="Normal"/>
        <w:spacing w:lineRule="auto" w:line="360"/>
        <w:rPr/>
      </w:pPr>
      <w:r>
        <w:rPr>
          <w:rFonts w:eastAsia="PalatinoLinotype" w:ascii="Times New Roman" w:hAnsi="Times New Roman"/>
          <w:sz w:val="24"/>
          <w:szCs w:val="24"/>
        </w:rPr>
        <w:tab/>
        <w:t>16.6.1. 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Normal"/>
        <w:spacing w:lineRule="auto" w:line="360"/>
        <w:rPr/>
      </w:pPr>
      <w:r>
        <w:rPr>
          <w:rFonts w:eastAsia="PalatinoLinotype" w:ascii="Times New Roman" w:hAnsi="Times New Roman"/>
          <w:sz w:val="24"/>
          <w:szCs w:val="24"/>
        </w:rPr>
        <w:tab/>
        <w:t>16.6.2. Direcionar a contratação de pessoas para trabalhar nas empresas Contratadas;</w:t>
      </w:r>
    </w:p>
    <w:p>
      <w:pPr>
        <w:pStyle w:val="Normal"/>
        <w:spacing w:lineRule="auto" w:line="360"/>
        <w:rPr/>
      </w:pPr>
      <w:r>
        <w:rPr>
          <w:rFonts w:eastAsia="PalatinoLinotype" w:ascii="Times New Roman" w:hAnsi="Times New Roman"/>
          <w:sz w:val="24"/>
          <w:szCs w:val="24"/>
        </w:rPr>
        <w:tab/>
        <w:t>16.6.3. 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Normal"/>
        <w:spacing w:lineRule="auto" w:line="360"/>
        <w:rPr/>
      </w:pPr>
      <w:r>
        <w:rPr>
          <w:rFonts w:eastAsia="PalatinoLinotype" w:ascii="Times New Roman" w:hAnsi="Times New Roman"/>
          <w:sz w:val="24"/>
          <w:szCs w:val="24"/>
        </w:rPr>
        <w:tab/>
        <w:t>16.6.4. Considerar os trabalhadores da Contratada como colaboradores eventuais do próprio órgão ou entidade responsável pela contratação, especialmente para efeito de concessão de diárias e passagens.</w:t>
      </w:r>
    </w:p>
    <w:p>
      <w:pPr>
        <w:pStyle w:val="Normal"/>
        <w:spacing w:lineRule="auto" w:line="360"/>
        <w:rPr>
          <w:rFonts w:eastAsia="PalatinoLinotype"/>
        </w:rPr>
      </w:pPr>
      <w:r>
        <w:rPr>
          <w:rFonts w:eastAsia="PalatinoLinotype" w:ascii="Times New Roman" w:hAnsi="Times New Roman"/>
          <w:sz w:val="24"/>
          <w:szCs w:val="24"/>
        </w:rPr>
        <w:t>16.7. Fiscalizar mensalmente, por amostragem, o cumprimento das obrigações trabalhistas, previdenciárias e para com o FGTS, especialmente:</w:t>
      </w:r>
    </w:p>
    <w:p>
      <w:pPr>
        <w:pStyle w:val="Normal"/>
        <w:spacing w:lineRule="auto" w:line="360"/>
        <w:rPr>
          <w:rFonts w:eastAsia="PalatinoLinotype"/>
        </w:rPr>
      </w:pPr>
      <w:r>
        <w:rPr>
          <w:rFonts w:eastAsia="PalatinoLinotype" w:ascii="Times New Roman" w:hAnsi="Times New Roman"/>
          <w:sz w:val="24"/>
          <w:szCs w:val="24"/>
        </w:rPr>
        <w:t>16.7.1. A concessão de férias remuneradas e o pagamento do respectivo adicional, bem como de auxílio-transporte, auxílio-alimentação e auxílio-saúde, quando for devido;</w:t>
      </w:r>
    </w:p>
    <w:p>
      <w:pPr>
        <w:pStyle w:val="Normal"/>
        <w:spacing w:lineRule="auto" w:line="360"/>
        <w:rPr>
          <w:rFonts w:eastAsia="PalatinoLinotype"/>
        </w:rPr>
      </w:pPr>
      <w:r>
        <w:rPr>
          <w:rFonts w:eastAsia="PalatinoLinotype" w:ascii="Times New Roman" w:hAnsi="Times New Roman"/>
          <w:sz w:val="24"/>
          <w:szCs w:val="24"/>
        </w:rPr>
        <w:t>16.7.2. O recolhimento das contribuições previdenciárias e do FGTS dos empregados que efetivamente participem da execução dos serviços contratados, a fim de verificar qualquer irregularidade;</w:t>
      </w:r>
    </w:p>
    <w:p>
      <w:pPr>
        <w:pStyle w:val="Normal"/>
        <w:spacing w:lineRule="auto" w:line="360"/>
        <w:rPr>
          <w:rFonts w:eastAsia="PalatinoLinotype"/>
        </w:rPr>
      </w:pPr>
      <w:r>
        <w:rPr>
          <w:rFonts w:eastAsia="PalatinoLinotype" w:ascii="Times New Roman" w:hAnsi="Times New Roman"/>
          <w:sz w:val="24"/>
          <w:szCs w:val="24"/>
        </w:rPr>
        <w:t>16.7.3. O pagamento de obrigações trabalhistas e previdenciárias dos empregados dispensados até a data da extinção do contrato.</w:t>
      </w:r>
    </w:p>
    <w:p>
      <w:pPr>
        <w:pStyle w:val="Normal"/>
        <w:spacing w:lineRule="auto" w:line="360"/>
        <w:rPr/>
      </w:pPr>
      <w:r>
        <w:rPr>
          <w:rFonts w:eastAsia="PalatinoLinotype" w:ascii="Times New Roman" w:hAnsi="Times New Roman"/>
          <w:sz w:val="24"/>
          <w:szCs w:val="24"/>
        </w:rPr>
        <w:t>16.8. Analisar os termos de rescisão dos contratos de trabalho do pessoal empregado na prestação dos serviços no prazo de 30 (trinta) dias, prorrogável por igual período, após a extinção ou rescisão do contrato.</w:t>
      </w:r>
    </w:p>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rPr/>
      </w:pPr>
      <w:r>
        <w:rPr>
          <w:rFonts w:eastAsia="PalatinoLinotype" w:ascii="Times New Roman" w:hAnsi="Times New Roman"/>
          <w:sz w:val="24"/>
          <w:szCs w:val="24"/>
        </w:rPr>
        <w:t>17. OBRIGAÇÕES DA CONTRATADA:</w:t>
      </w:r>
    </w:p>
    <w:p>
      <w:pPr>
        <w:pStyle w:val="Normal"/>
        <w:spacing w:lineRule="auto" w:line="360"/>
        <w:rPr/>
      </w:pPr>
      <w:r>
        <w:rPr>
          <w:rFonts w:eastAsia="PalatinoLinotype" w:ascii="Times New Roman" w:hAnsi="Times New Roman"/>
          <w:sz w:val="24"/>
          <w:szCs w:val="24"/>
        </w:rPr>
        <w:t>17.1.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 neste Termo de Referência e em sua proposta;</w:t>
      </w:r>
    </w:p>
    <w:p>
      <w:pPr>
        <w:pStyle w:val="Normal"/>
        <w:spacing w:lineRule="auto" w:line="360"/>
        <w:rPr>
          <w:rFonts w:eastAsia="PalatinoLinotype"/>
        </w:rPr>
      </w:pPr>
      <w:r>
        <w:rPr>
          <w:rFonts w:eastAsia="PalatinoLinotype" w:ascii="Times New Roman" w:hAnsi="Times New Roman"/>
          <w:sz w:val="24"/>
          <w:szCs w:val="24"/>
        </w:rPr>
        <w:t>17.2. 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spacing w:lineRule="auto" w:line="360"/>
        <w:rPr>
          <w:rFonts w:eastAsia="PalatinoLinotype"/>
        </w:rPr>
      </w:pPr>
      <w:r>
        <w:rPr>
          <w:rFonts w:eastAsia="PalatinoLinotype" w:ascii="Times New Roman" w:hAnsi="Times New Roman"/>
          <w:sz w:val="24"/>
          <w:szCs w:val="24"/>
        </w:rPr>
        <w:t>17.3. Manter o empregado nos horários predeterminados pela Administração;</w:t>
      </w:r>
    </w:p>
    <w:p>
      <w:pPr>
        <w:pStyle w:val="Normal"/>
        <w:spacing w:lineRule="auto" w:line="360"/>
        <w:rPr>
          <w:rFonts w:eastAsia="PalatinoLinotype"/>
        </w:rPr>
      </w:pPr>
      <w:r>
        <w:rPr>
          <w:rFonts w:eastAsia="PalatinoLinotype" w:ascii="Times New Roman" w:hAnsi="Times New Roman"/>
          <w:sz w:val="24"/>
          <w:szCs w:val="24"/>
        </w:rPr>
        <w:t>17.4.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pPr>
        <w:pStyle w:val="Normal"/>
        <w:spacing w:lineRule="auto" w:line="360"/>
        <w:rPr>
          <w:rFonts w:eastAsia="PalatinoLinotype"/>
        </w:rPr>
      </w:pPr>
      <w:r>
        <w:rPr>
          <w:rFonts w:eastAsia="PalatinoLinotype" w:ascii="Times New Roman" w:hAnsi="Times New Roman"/>
          <w:sz w:val="24"/>
          <w:szCs w:val="24"/>
        </w:rPr>
        <w:t>17.5. Utilizar empregados habilitados e com conhecimentos básicos dos serviços a serem executados, em conformidade com as normas e determinações em vigor;</w:t>
      </w:r>
    </w:p>
    <w:p>
      <w:pPr>
        <w:pStyle w:val="Normal"/>
        <w:spacing w:lineRule="auto" w:line="360"/>
        <w:rPr>
          <w:rFonts w:eastAsia="PalatinoLinotype"/>
        </w:rPr>
      </w:pPr>
      <w:r>
        <w:rPr>
          <w:rFonts w:eastAsia="PalatinoLinotype" w:ascii="Times New Roman" w:hAnsi="Times New Roman"/>
          <w:sz w:val="24"/>
          <w:szCs w:val="24"/>
        </w:rPr>
        <w:t>17.6. Vedar a utilização, na execução dos serviços, de empregado que seja familiar de agente público ocupante de cargo em comissão ou função de confiança no órgão Contratante, nos termos do artigo 7° do Decreto n° 7.203, de 2010;</w:t>
      </w:r>
    </w:p>
    <w:p>
      <w:pPr>
        <w:pStyle w:val="Normal"/>
        <w:spacing w:lineRule="auto" w:line="360"/>
        <w:rPr>
          <w:rFonts w:eastAsia="PalatinoLinotype"/>
        </w:rPr>
      </w:pPr>
      <w:r>
        <w:rPr>
          <w:rFonts w:eastAsia="PalatinoLinotype" w:ascii="Times New Roman" w:hAnsi="Times New Roman"/>
          <w:sz w:val="24"/>
          <w:szCs w:val="24"/>
        </w:rPr>
        <w:t>17.7. Disponibilizar à Contratante os empregados devidamente uniformizados e identificados por meio de crachá, além de provê-los com os Equipamentos de Proteção Individual – EPI, quando for o caso;</w:t>
      </w:r>
    </w:p>
    <w:p>
      <w:pPr>
        <w:pStyle w:val="Normal"/>
        <w:spacing w:lineRule="auto" w:line="360"/>
        <w:rPr>
          <w:rFonts w:eastAsia="PalatinoLinotype"/>
        </w:rPr>
      </w:pPr>
      <w:r>
        <w:rPr>
          <w:rFonts w:eastAsia="PalatinoLinotype" w:ascii="Times New Roman" w:hAnsi="Times New Roman"/>
          <w:sz w:val="24"/>
          <w:szCs w:val="24"/>
        </w:rPr>
        <w:t>17.8. Fornecer os uniformes a serem utilizados por seus empregados, conforme disposto neste Termo de Referência, sem repassar quaisquer custos a estes;</w:t>
      </w:r>
    </w:p>
    <w:p>
      <w:pPr>
        <w:pStyle w:val="Normal"/>
        <w:spacing w:lineRule="auto" w:line="360"/>
        <w:rPr/>
      </w:pPr>
      <w:r>
        <w:rPr>
          <w:rFonts w:eastAsia="PalatinoLinotype" w:ascii="Times New Roman" w:hAnsi="Times New Roman"/>
          <w:sz w:val="24"/>
          <w:szCs w:val="24"/>
        </w:rPr>
        <w:t>17.9. Apresentar à Contratante, quando do início das atividades, e sempre que houver alocação de novo empregado na execução do contrato:</w:t>
      </w:r>
    </w:p>
    <w:p>
      <w:pPr>
        <w:pStyle w:val="Normal"/>
        <w:spacing w:lineRule="auto" w:line="360"/>
        <w:rPr/>
      </w:pPr>
      <w:r>
        <w:rPr>
          <w:rFonts w:eastAsia="PalatinoLinotype" w:ascii="Times New Roman" w:hAnsi="Times New Roman"/>
          <w:sz w:val="24"/>
          <w:szCs w:val="24"/>
        </w:rPr>
        <w:tab/>
        <w:t>17.9.1. Relação nominal constando nome, endereço residencial e telefone dos empregados colocados à disposição da Administração, cargo ou função, horário do posto de trabalho, números da carteira de identidade (RG) e da inscrição no Cadastro de Pessoas Físicas (CPF);</w:t>
      </w:r>
    </w:p>
    <w:p>
      <w:pPr>
        <w:pStyle w:val="Normal"/>
        <w:spacing w:lineRule="auto" w:line="360"/>
        <w:rPr/>
      </w:pPr>
      <w:r>
        <w:rPr>
          <w:rFonts w:eastAsia="PalatinoLinotype" w:ascii="Times New Roman" w:hAnsi="Times New Roman"/>
          <w:sz w:val="24"/>
          <w:szCs w:val="24"/>
        </w:rPr>
        <w:tab/>
        <w:t xml:space="preserve">17.9.2. Carteira de Trabalho e Previdência Social (CTPS) dos empregados admitidos, devidamente preenchida e assinada pela Contratada, para fins de conferência; </w:t>
      </w:r>
    </w:p>
    <w:p>
      <w:pPr>
        <w:pStyle w:val="Normal"/>
        <w:spacing w:lineRule="auto" w:line="360"/>
        <w:rPr>
          <w:rFonts w:eastAsia="PalatinoLinotype"/>
        </w:rPr>
      </w:pPr>
      <w:r>
        <w:rPr>
          <w:rFonts w:eastAsia="PalatinoLinotype" w:ascii="Times New Roman" w:hAnsi="Times New Roman"/>
          <w:sz w:val="24"/>
          <w:szCs w:val="24"/>
        </w:rPr>
        <w:tab/>
        <w:t>17.9.3. Exames médicos admissionais dos empregados da Contratada que prestarão os serviços;</w:t>
      </w:r>
    </w:p>
    <w:p>
      <w:pPr>
        <w:pStyle w:val="Normal"/>
        <w:spacing w:lineRule="auto" w:line="360"/>
        <w:rPr/>
      </w:pPr>
      <w:r>
        <w:rPr>
          <w:rFonts w:eastAsia="PalatinoLinotype" w:ascii="Times New Roman" w:hAnsi="Times New Roman"/>
          <w:sz w:val="24"/>
          <w:szCs w:val="24"/>
        </w:rPr>
        <w:tab/>
        <w:t>17.9.4. Declaração de responsabilidade exclusiva da Contratada sobre a quitação dos encargos trabalhistas e sociais decorrentes do contrato;</w:t>
      </w:r>
    </w:p>
    <w:p>
      <w:pPr>
        <w:pStyle w:val="Normal"/>
        <w:spacing w:lineRule="auto" w:line="360"/>
        <w:rPr/>
      </w:pPr>
      <w:r>
        <w:rPr>
          <w:rFonts w:eastAsia="PalatinoLinotype" w:ascii="Times New Roman" w:hAnsi="Times New Roman"/>
          <w:sz w:val="24"/>
          <w:szCs w:val="24"/>
        </w:rPr>
        <w:tab/>
        <w:t xml:space="preserve">17.9.5 Apresentar, quando solicitado, atestado de antecedentes criminais e distribuição cível de toda a mão-de-obra oferecida para atuar nas instalações do órgão, a critério da Administração; </w:t>
      </w:r>
    </w:p>
    <w:p>
      <w:pPr>
        <w:pStyle w:val="Normal"/>
        <w:spacing w:lineRule="auto" w:line="360"/>
        <w:rPr/>
      </w:pPr>
      <w:r>
        <w:rPr>
          <w:rFonts w:eastAsia="PalatinoLinotype" w:ascii="Times New Roman" w:hAnsi="Times New Roman"/>
          <w:sz w:val="24"/>
          <w:szCs w:val="24"/>
        </w:rPr>
        <w:tab/>
        <w:t>17.9.6.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spacing w:lineRule="auto" w:line="360"/>
        <w:rPr>
          <w:rFonts w:eastAsia="PalatinoLinotype"/>
        </w:rPr>
      </w:pPr>
      <w:r>
        <w:rPr>
          <w:rFonts w:eastAsia="PalatinoLinotype" w:ascii="Times New Roman" w:hAnsi="Times New Roman"/>
          <w:sz w:val="24"/>
          <w:szCs w:val="24"/>
        </w:rPr>
        <w:t>17.10.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pPr>
        <w:pStyle w:val="Normal"/>
        <w:numPr>
          <w:ilvl w:val="0"/>
          <w:numId w:val="5"/>
        </w:numPr>
        <w:spacing w:lineRule="auto" w:line="360"/>
        <w:rPr/>
      </w:pPr>
      <w:r>
        <w:rPr>
          <w:rFonts w:eastAsia="PalatinoLinotype" w:ascii="Times New Roman" w:hAnsi="Times New Roman"/>
          <w:sz w:val="24"/>
          <w:szCs w:val="24"/>
        </w:rPr>
        <w:t>Prova de regularidade relativa à Seguridade Social;</w:t>
      </w:r>
    </w:p>
    <w:p>
      <w:pPr>
        <w:pStyle w:val="Normal"/>
        <w:numPr>
          <w:ilvl w:val="0"/>
          <w:numId w:val="5"/>
        </w:numPr>
        <w:spacing w:lineRule="auto" w:line="360"/>
        <w:rPr/>
      </w:pPr>
      <w:r>
        <w:rPr>
          <w:rFonts w:eastAsia="PalatinoLinotype" w:ascii="Times New Roman" w:hAnsi="Times New Roman"/>
          <w:sz w:val="24"/>
          <w:szCs w:val="24"/>
        </w:rPr>
        <w:t>Certidão conjunta relativa aos tributos federais e à Dívida Ativa da União;</w:t>
      </w:r>
    </w:p>
    <w:p>
      <w:pPr>
        <w:pStyle w:val="Normal"/>
        <w:numPr>
          <w:ilvl w:val="0"/>
          <w:numId w:val="5"/>
        </w:numPr>
        <w:spacing w:lineRule="auto" w:line="360"/>
        <w:rPr/>
      </w:pPr>
      <w:r>
        <w:rPr>
          <w:rFonts w:eastAsia="PalatinoLinotype" w:ascii="Times New Roman" w:hAnsi="Times New Roman"/>
          <w:sz w:val="24"/>
          <w:szCs w:val="24"/>
        </w:rPr>
        <w:t>Certidões que comprovem a regularidade perante as Fazendas Estadual, Distrital e Municipal do domicílio ou sede do contratado;</w:t>
      </w:r>
    </w:p>
    <w:p>
      <w:pPr>
        <w:pStyle w:val="Normal"/>
        <w:numPr>
          <w:ilvl w:val="0"/>
          <w:numId w:val="5"/>
        </w:numPr>
        <w:spacing w:lineRule="auto" w:line="360"/>
        <w:rPr/>
      </w:pPr>
      <w:r>
        <w:rPr>
          <w:rFonts w:eastAsia="PalatinoLinotype" w:ascii="Times New Roman" w:hAnsi="Times New Roman"/>
          <w:sz w:val="24"/>
          <w:szCs w:val="24"/>
        </w:rPr>
        <w:t>Certidão de Regularidade do FGTS – CRF; e</w:t>
      </w:r>
    </w:p>
    <w:p>
      <w:pPr>
        <w:pStyle w:val="Normal"/>
        <w:numPr>
          <w:ilvl w:val="0"/>
          <w:numId w:val="5"/>
        </w:numPr>
        <w:spacing w:lineRule="auto" w:line="360"/>
        <w:rPr/>
      </w:pPr>
      <w:r>
        <w:rPr>
          <w:rFonts w:eastAsia="PalatinoLinotype" w:ascii="Times New Roman" w:hAnsi="Times New Roman"/>
          <w:sz w:val="24"/>
          <w:szCs w:val="24"/>
        </w:rPr>
        <w:t>Certidão Negativa de Débitos Trabalhistas – CNDT, conforme alínea "c" do item 10.2 do Anexo VIII-B da IN SEGES/MPDG n. 5/2017;</w:t>
      </w:r>
    </w:p>
    <w:p>
      <w:pPr>
        <w:pStyle w:val="Normal"/>
        <w:spacing w:lineRule="auto" w:line="360"/>
        <w:rPr/>
      </w:pPr>
      <w:r>
        <w:rPr>
          <w:rFonts w:eastAsia="PalatinoLinotype" w:ascii="Times New Roman" w:hAnsi="Times New Roman"/>
          <w:sz w:val="24"/>
          <w:szCs w:val="24"/>
        </w:rPr>
        <w:t>17.11. Substituir, no prazo máximo de 2 h (duas horas), em caso de eventual ausência, tais como faltas e licenças, o empregado posto a serviço da Contratante, devendo identificar previamente o respectivo substituto ao Fiscal do Contrato;</w:t>
      </w:r>
    </w:p>
    <w:p>
      <w:pPr>
        <w:pStyle w:val="Normal"/>
        <w:spacing w:lineRule="auto" w:line="360"/>
        <w:rPr/>
      </w:pPr>
      <w:r>
        <w:rPr>
          <w:rFonts w:eastAsia="PalatinoLinotype" w:ascii="Times New Roman" w:hAnsi="Times New Roman"/>
          <w:sz w:val="24"/>
          <w:szCs w:val="24"/>
        </w:rPr>
        <w:t xml:space="preserve">17.12. Responder por eventuais prejuízos decorrentes do descumprimento da obrigação constante do item anterior; </w:t>
      </w:r>
    </w:p>
    <w:p>
      <w:pPr>
        <w:pStyle w:val="Normal"/>
        <w:spacing w:lineRule="auto" w:line="360"/>
        <w:rPr>
          <w:rFonts w:eastAsia="PalatinoLinotype"/>
        </w:rPr>
      </w:pPr>
      <w:r>
        <w:rPr>
          <w:rFonts w:eastAsia="PalatinoLinotype" w:ascii="Times New Roman" w:hAnsi="Times New Roman"/>
          <w:sz w:val="24"/>
          <w:szCs w:val="24"/>
        </w:rPr>
        <w:t>17.13.</w:t>
        <w:tab/>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pPr>
        <w:pStyle w:val="Normal"/>
        <w:spacing w:lineRule="auto" w:line="360"/>
        <w:rPr/>
      </w:pPr>
      <w:r>
        <w:rPr>
          <w:rFonts w:eastAsia="PalatinoLinotype" w:ascii="Times New Roman" w:hAnsi="Times New Roman"/>
          <w:sz w:val="24"/>
          <w:szCs w:val="24"/>
        </w:rPr>
        <w:tab/>
        <w:t>17.13.1.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pStyle w:val="Normal"/>
        <w:spacing w:lineRule="auto" w:line="360"/>
        <w:rPr/>
      </w:pPr>
      <w:r>
        <w:rPr>
          <w:rFonts w:eastAsia="PalatinoLinotype" w:ascii="Times New Roman" w:hAnsi="Times New Roman"/>
          <w:sz w:val="24"/>
          <w:szCs w:val="24"/>
        </w:rPr>
        <w:t xml:space="preserve">17.14.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w:t>
      </w:r>
    </w:p>
    <w:p>
      <w:pPr>
        <w:pStyle w:val="Normal"/>
        <w:spacing w:lineRule="auto" w:line="360"/>
        <w:rPr/>
      </w:pPr>
      <w:r>
        <w:rPr>
          <w:rFonts w:eastAsia="PalatinoLinotype" w:ascii="Times New Roman" w:hAnsi="Times New Roman"/>
          <w:sz w:val="24"/>
          <w:szCs w:val="24"/>
        </w:rPr>
        <w:t>17.15.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spacing w:lineRule="auto" w:line="360"/>
        <w:rPr/>
      </w:pPr>
      <w:r>
        <w:rPr>
          <w:rFonts w:eastAsia="PalatinoLinotype" w:ascii="Times New Roman" w:hAnsi="Times New Roman"/>
          <w:sz w:val="24"/>
          <w:szCs w:val="24"/>
        </w:rPr>
        <w:tab/>
        <w:t>17.15.1.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Normal"/>
        <w:spacing w:lineRule="auto" w:line="360"/>
        <w:rPr/>
      </w:pPr>
      <w:r>
        <w:rPr>
          <w:rFonts w:eastAsia="PalatinoLinotype" w:ascii="Times New Roman" w:hAnsi="Times New Roman"/>
          <w:sz w:val="24"/>
          <w:szCs w:val="24"/>
        </w:rPr>
        <w:t>17.16. Não permitir que o empregado designado para trabalhar em um turno preste seus serviços no turno imediatamente subsequente;</w:t>
      </w:r>
    </w:p>
    <w:p>
      <w:pPr>
        <w:pStyle w:val="Normal"/>
        <w:spacing w:lineRule="auto" w:line="360"/>
        <w:rPr/>
      </w:pPr>
      <w:r>
        <w:rPr>
          <w:rFonts w:eastAsia="PalatinoLinotype" w:ascii="Times New Roman" w:hAnsi="Times New Roman"/>
          <w:sz w:val="24"/>
          <w:szCs w:val="24"/>
        </w:rPr>
        <w:t>17.17. 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spacing w:lineRule="auto" w:line="360"/>
        <w:rPr/>
      </w:pPr>
      <w:r>
        <w:rPr>
          <w:rFonts w:eastAsia="PalatinoLinotype" w:ascii="Times New Roman" w:hAnsi="Times New Roman"/>
          <w:sz w:val="24"/>
          <w:szCs w:val="24"/>
        </w:rPr>
        <w:t>17.18. Instruir seus empregados quanto à necessidade de acatar as orientações da Administração,  inclusive quanto ao cumprimento das Normas Internas;</w:t>
      </w:r>
    </w:p>
    <w:p>
      <w:pPr>
        <w:pStyle w:val="Normal"/>
        <w:spacing w:lineRule="auto" w:line="360"/>
        <w:rPr/>
      </w:pPr>
      <w:r>
        <w:rPr>
          <w:rFonts w:eastAsia="PalatinoLinotype" w:ascii="Times New Roman" w:hAnsi="Times New Roman"/>
          <w:sz w:val="24"/>
          <w:szCs w:val="24"/>
        </w:rPr>
        <w:t>17.19. 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pStyle w:val="Normal"/>
        <w:spacing w:lineRule="auto" w:line="360"/>
        <w:rPr/>
      </w:pPr>
      <w:r>
        <w:rPr>
          <w:rFonts w:eastAsia="PalatinoLinotype" w:ascii="Times New Roman" w:hAnsi="Times New Roman"/>
          <w:sz w:val="24"/>
          <w:szCs w:val="24"/>
        </w:rPr>
        <w:t>17.20.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Normal"/>
        <w:spacing w:lineRule="auto" w:line="360"/>
        <w:rPr/>
      </w:pPr>
      <w:r>
        <w:rPr>
          <w:rFonts w:eastAsia="PalatinoLinotype" w:ascii="Times New Roman" w:hAnsi="Times New Roman"/>
          <w:sz w:val="24"/>
          <w:szCs w:val="24"/>
        </w:rPr>
        <w:tab/>
        <w:t>17.20.1.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17.20.2. Viabilizar a emissão do cartão cidadão pela Caixa Econômica Federal para todos os empregados,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17.20.3. Oferecer todos os meios necessários aos seus empregados para a obtenção e extratos de recolhimentos de seus direitos sociais, preferencialmente por meio eletrônico, quando disponível.</w:t>
      </w:r>
    </w:p>
    <w:p>
      <w:pPr>
        <w:pStyle w:val="Normal"/>
        <w:spacing w:lineRule="auto" w:line="360"/>
        <w:rPr/>
      </w:pPr>
      <w:r>
        <w:rPr>
          <w:rFonts w:eastAsia="PalatinoLinotype" w:ascii="Times New Roman" w:hAnsi="Times New Roman"/>
          <w:sz w:val="24"/>
          <w:szCs w:val="24"/>
        </w:rPr>
        <w:t xml:space="preserve">17.21. Manter preposto </w:t>
      </w:r>
      <w:r>
        <w:rPr>
          <w:rFonts w:eastAsia="PalatinoLinotype" w:ascii="Times New Roman" w:hAnsi="Times New Roman"/>
          <w:color w:val="00000A"/>
          <w:sz w:val="24"/>
          <w:szCs w:val="24"/>
        </w:rPr>
        <w:t>habilitado</w:t>
      </w:r>
      <w:r>
        <w:rPr>
          <w:rFonts w:eastAsia="PalatinoLinotype" w:ascii="Times New Roman" w:hAnsi="Times New Roman"/>
          <w:sz w:val="24"/>
          <w:szCs w:val="24"/>
        </w:rPr>
        <w:t>, aceito pela Administração, para representá-la na execução do contrato;</w:t>
      </w:r>
    </w:p>
    <w:p>
      <w:pPr>
        <w:pStyle w:val="Normal"/>
        <w:spacing w:lineRule="auto" w:line="360"/>
        <w:rPr/>
      </w:pPr>
      <w:r>
        <w:rPr>
          <w:rFonts w:eastAsia="PalatinoLinotype" w:ascii="Times New Roman" w:hAnsi="Times New Roman"/>
          <w:sz w:val="24"/>
          <w:szCs w:val="24"/>
        </w:rPr>
        <w:t>17.22. Fornecer mensalmente, ou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pStyle w:val="Normal"/>
        <w:spacing w:lineRule="auto" w:line="360"/>
        <w:rPr>
          <w:rFonts w:eastAsia="PalatinoLinotype"/>
        </w:rPr>
      </w:pPr>
      <w:r>
        <w:rPr>
          <w:rFonts w:eastAsia="PalatinoLinotype" w:ascii="Times New Roman" w:hAnsi="Times New Roman"/>
          <w:sz w:val="24"/>
          <w:szCs w:val="24"/>
        </w:rPr>
        <w:tab/>
        <w:t>17.22.1.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pStyle w:val="Normal"/>
        <w:spacing w:lineRule="auto" w:line="360"/>
        <w:rPr>
          <w:rFonts w:eastAsia="PalatinoLinotype"/>
        </w:rPr>
      </w:pPr>
      <w:r>
        <w:rPr>
          <w:rFonts w:eastAsia="PalatinoLinotype" w:ascii="Times New Roman" w:hAnsi="Times New Roman"/>
          <w:sz w:val="24"/>
          <w:szCs w:val="24"/>
        </w:rPr>
        <w:tab/>
        <w:t xml:space="preserve">17.22.1.1. </w:t>
      </w:r>
      <w:r>
        <w:rPr>
          <w:rFonts w:eastAsia="PalatinoLinotype" w:ascii="Times New Roman" w:hAnsi="Times New Roman"/>
          <w:color w:val="00000A"/>
          <w:sz w:val="24"/>
          <w:szCs w:val="24"/>
        </w:rPr>
        <w:t>O sindicato representante da categoria do trabalhador deverá ser notificado pela Contratante para acompanhar o pagamento das respectivas verbas.</w:t>
      </w:r>
    </w:p>
    <w:p>
      <w:pPr>
        <w:pStyle w:val="Normal"/>
        <w:spacing w:lineRule="auto" w:line="360"/>
        <w:rPr>
          <w:rFonts w:eastAsia="PalatinoLinotype"/>
        </w:rPr>
      </w:pPr>
      <w:r>
        <w:rPr>
          <w:rFonts w:eastAsia="PalatinoLinotype" w:ascii="Times New Roman" w:hAnsi="Times New Roman"/>
          <w:sz w:val="24"/>
          <w:szCs w:val="24"/>
        </w:rPr>
        <w:t>17.23.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spacing w:lineRule="auto" w:line="360"/>
        <w:rPr/>
      </w:pPr>
      <w:r>
        <w:rPr>
          <w:rFonts w:eastAsia="PalatinoLinotype" w:ascii="Times New Roman" w:hAnsi="Times New Roman"/>
          <w:sz w:val="24"/>
          <w:szCs w:val="24"/>
        </w:rPr>
        <w:t>17.24. Manter durante toda a vigência do contrato, em compatibilidade com as obrigações assumidas, todas as condições de habilitação e qualificação exigidas na licitação;</w:t>
      </w:r>
    </w:p>
    <w:p>
      <w:pPr>
        <w:pStyle w:val="Normal"/>
        <w:spacing w:lineRule="auto" w:line="360"/>
        <w:rPr/>
      </w:pPr>
      <w:r>
        <w:rPr>
          <w:rFonts w:eastAsia="PalatinoLinotype" w:ascii="Times New Roman" w:hAnsi="Times New Roman"/>
          <w:sz w:val="24"/>
          <w:szCs w:val="24"/>
        </w:rPr>
        <w:t>17.25. Guardar sigilo sobre todas as informações obtidas em decorrência do cumprimento do contrato;</w:t>
      </w:r>
    </w:p>
    <w:p>
      <w:pPr>
        <w:pStyle w:val="Normal"/>
        <w:spacing w:lineRule="auto" w:line="360"/>
        <w:rPr>
          <w:rFonts w:eastAsia="PalatinoLinotype"/>
        </w:rPr>
      </w:pPr>
      <w:r>
        <w:rPr>
          <w:rFonts w:eastAsia="PalatinoLinotype" w:ascii="Times New Roman" w:hAnsi="Times New Roman"/>
          <w:sz w:val="24"/>
          <w:szCs w:val="24"/>
        </w:rPr>
        <w:t>17.26. Não beneficiar-se da condição de optante pelo Simples Nacional, salvo as exceções previstas no § 5º-C do art. 18 da Lei Complementar no 123, de 14 de dezembro de 2006;</w:t>
      </w:r>
    </w:p>
    <w:p>
      <w:pPr>
        <w:pStyle w:val="Normal"/>
        <w:spacing w:lineRule="auto" w:line="360"/>
        <w:rPr>
          <w:rFonts w:eastAsia="PalatinoLinotype"/>
        </w:rPr>
      </w:pPr>
      <w:r>
        <w:rPr>
          <w:rFonts w:eastAsia="PalatinoLinotype" w:ascii="Times New Roman" w:hAnsi="Times New Roman"/>
          <w:sz w:val="24"/>
          <w:szCs w:val="24"/>
        </w:rPr>
        <w:t>17.27.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pPr>
        <w:pStyle w:val="Normal"/>
        <w:spacing w:lineRule="auto" w:line="360"/>
        <w:rPr>
          <w:rFonts w:eastAsia="PalatinoLinotype"/>
        </w:rPr>
      </w:pPr>
      <w:r>
        <w:rPr>
          <w:rFonts w:eastAsia="PalatinoLinotype" w:ascii="Times New Roman" w:hAnsi="Times New Roman"/>
          <w:sz w:val="24"/>
          <w:szCs w:val="24"/>
        </w:rPr>
        <w:tab/>
        <w:t>17.27.1.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spacing w:lineRule="auto" w:line="360"/>
        <w:rPr/>
      </w:pPr>
      <w:r>
        <w:rPr>
          <w:rFonts w:eastAsia="PalatinoLinotype" w:ascii="Times New Roman" w:hAnsi="Times New Roman"/>
          <w:sz w:val="24"/>
          <w:szCs w:val="24"/>
        </w:rPr>
        <w:t>17.28. Arcar com o ônus decorrente de eventual equívoco no dimensionamento dos quantitativos de sua proposta, inclusive quanto aos custos variáveis decorrentes de fatores futuros e incertos, tais como os valores providos com o quantitativo de vale-transporte, devendo complementá-los, caso o previsto inicialmente em sua proposta não seja satisfatório para o atendimento do objeto da licitação, exceto quando ocorrer algum dos eventos arrolados nos incisos do § 1º do art. 57 da Lei nº 8.666, de 1993. 16.29. Deter instalações, aparelhamento e pessoal técnico adequados e disponíveis para a realização do objeto da licitação.</w:t>
      </w:r>
    </w:p>
    <w:p>
      <w:pPr>
        <w:pStyle w:val="Normal"/>
        <w:spacing w:lineRule="auto" w:line="360"/>
        <w:rPr>
          <w:rFonts w:ascii="Times New Roman" w:hAnsi="Times New Roman"/>
        </w:rPr>
      </w:pPr>
      <w:r>
        <w:rPr>
          <w:rFonts w:eastAsia="PalatinoLinotype" w:ascii="Times New Roman" w:hAnsi="Times New Roman"/>
          <w:sz w:val="24"/>
          <w:szCs w:val="24"/>
        </w:rPr>
        <w:t>17.29. Relatar à Contratante toda e qualquer irregularidade verificada no decorrer da prestação dos serviços.</w:t>
      </w:r>
    </w:p>
    <w:p>
      <w:pPr>
        <w:pStyle w:val="Normal"/>
        <w:tabs>
          <w:tab w:val="left" w:pos="0" w:leader="none"/>
        </w:tabs>
        <w:spacing w:lineRule="auto" w:line="360"/>
        <w:rPr>
          <w:rFonts w:ascii="Times New Roman" w:hAnsi="Times New Roman"/>
        </w:rPr>
      </w:pPr>
      <w:r>
        <w:rPr>
          <w:rFonts w:ascii="Times New Roman" w:hAnsi="Times New Roman"/>
          <w:sz w:val="24"/>
          <w:szCs w:val="24"/>
        </w:rPr>
        <w:t>17.30.</w:t>
        <w:tab/>
      </w:r>
      <w:r>
        <w:rPr>
          <w:rFonts w:ascii="Times New Roman" w:hAnsi="Times New Roman"/>
        </w:rPr>
        <w:t>relatar à Administração toda e qualquer irregularidade verificada no decorrer da prestação dos serviços;</w:t>
      </w:r>
    </w:p>
    <w:p>
      <w:pPr>
        <w:pStyle w:val="Normal"/>
        <w:tabs>
          <w:tab w:val="left" w:pos="0" w:leader="none"/>
        </w:tabs>
        <w:spacing w:lineRule="auto" w:line="360"/>
        <w:rPr>
          <w:rFonts w:ascii="Times New Roman" w:hAnsi="Times New Roman"/>
        </w:rPr>
      </w:pPr>
      <w:r>
        <w:rPr>
          <w:rFonts w:ascii="Times New Roman" w:hAnsi="Times New Roman"/>
        </w:rPr>
        <w:t>17.31.</w:t>
        <w:tab/>
        <w:t>fornecer os uniformes a serem utilizados por seus empregados, conforme disposto no Termo de Referência;</w:t>
      </w:r>
    </w:p>
    <w:p>
      <w:pPr>
        <w:pStyle w:val="Normal"/>
        <w:tabs>
          <w:tab w:val="left" w:pos="0" w:leader="none"/>
        </w:tabs>
        <w:spacing w:lineRule="auto" w:line="360"/>
        <w:rPr>
          <w:rFonts w:ascii="Times New Roman" w:hAnsi="Times New Roman"/>
        </w:rPr>
      </w:pPr>
      <w:r>
        <w:rPr>
          <w:rFonts w:ascii="Times New Roman" w:hAnsi="Times New Roman"/>
        </w:rPr>
        <w:t>17.32. Não repassar quaisquer custos de uniformes e equipamentos a seus empregados;</w:t>
      </w:r>
    </w:p>
    <w:p>
      <w:pPr>
        <w:pStyle w:val="Normal"/>
        <w:tabs>
          <w:tab w:val="left" w:pos="0" w:leader="none"/>
        </w:tabs>
        <w:spacing w:lineRule="auto" w:line="360"/>
        <w:rPr>
          <w:rFonts w:ascii="Times New Roman" w:hAnsi="Times New Roman"/>
        </w:rPr>
      </w:pPr>
      <w:r>
        <w:rPr>
          <w:rFonts w:ascii="Times New Roman" w:hAnsi="Times New Roman"/>
        </w:rPr>
        <w:t>17.33.</w:t>
        <w:tab/>
        <w:t>Não transferir a terceiros, por qualquer forma, nem mesmo parcialmente, as obrigações assumidas, nem subcontratar qualquer das prestações a que está obrigada, exceto nas condições autorizadas no Termo de Referência ou na minuta de contrato;</w:t>
      </w:r>
    </w:p>
    <w:p>
      <w:pPr>
        <w:pStyle w:val="Normal"/>
        <w:tabs>
          <w:tab w:val="left" w:pos="0" w:leader="none"/>
        </w:tabs>
        <w:spacing w:lineRule="auto" w:line="360"/>
        <w:rPr>
          <w:rFonts w:ascii="Times New Roman" w:hAnsi="Times New Roman"/>
        </w:rPr>
      </w:pPr>
      <w:r>
        <w:rPr>
          <w:rFonts w:ascii="Times New Roman" w:hAnsi="Times New Roman"/>
        </w:rPr>
        <w:t xml:space="preserve">17.34. A implantação da coleta seletiva solidária (CORES) é obrigação que decorre do Decreto n. 5.940/06 e à Contratada incumbe o acondicionamento adequado dos resíduos recicláveis, que serão encaminhados pela Administração à cooperativa/associação de catadores. </w:t>
      </w:r>
    </w:p>
    <w:p>
      <w:pPr>
        <w:pStyle w:val="Normal"/>
        <w:tabs>
          <w:tab w:val="left" w:pos="0" w:leader="none"/>
        </w:tabs>
        <w:spacing w:lineRule="auto" w:line="360"/>
        <w:rPr>
          <w:rFonts w:ascii="Times New Roman" w:hAnsi="Times New Roman"/>
        </w:rPr>
      </w:pPr>
      <w:r>
        <w:rPr>
          <w:rFonts w:ascii="Times New Roman" w:hAnsi="Times New Roman"/>
        </w:rPr>
        <w:tab/>
        <w:t>17.34.1.</w:t>
        <w:tab/>
        <w:t>A Contratada obriga-se a efetuar treinamento de seus empregados acerca da separação adequada de resíduos recicláveis, sem ônus para a Contratante, a ser renovado sempre que novos empregados ocuparem os postos.</w:t>
      </w:r>
    </w:p>
    <w:p>
      <w:pPr>
        <w:pStyle w:val="Normal"/>
        <w:tabs>
          <w:tab w:val="left" w:pos="0" w:leader="none"/>
        </w:tabs>
        <w:spacing w:lineRule="auto" w:line="360"/>
        <w:rPr>
          <w:rFonts w:ascii="Times New Roman" w:hAnsi="Times New Roman"/>
        </w:rPr>
      </w:pPr>
      <w:r>
        <w:rPr>
          <w:rFonts w:ascii="Times New Roman" w:hAnsi="Times New Roman"/>
        </w:rPr>
        <w:tab/>
        <w:t>17.34.2.</w:t>
        <w:tab/>
        <w:t>Retirar e acondicionar em sacos plásticos os resíduos sólidos recicláveis descartados pela Contratante, armazenando-os em local apropriado por ela determinado.</w:t>
      </w:r>
    </w:p>
    <w:p>
      <w:pPr>
        <w:pStyle w:val="Normal"/>
        <w:tabs>
          <w:tab w:val="left" w:pos="0" w:leader="none"/>
        </w:tabs>
        <w:spacing w:lineRule="auto" w:line="360"/>
        <w:rPr/>
      </w:pPr>
      <w:r>
        <w:rPr>
          <w:rFonts w:ascii="Times New Roman" w:hAnsi="Times New Roman"/>
        </w:rPr>
        <w:t>17.34.3.</w:t>
        <w:tab/>
        <w:t>Não acondicionar conjuntamente no mesmo saco plástico os resíduos recicláveis e os não recicláveis.</w:t>
      </w:r>
    </w:p>
    <w:p>
      <w:pPr>
        <w:pStyle w:val="Normal"/>
        <w:tabs>
          <w:tab w:val="left" w:pos="0" w:leader="none"/>
        </w:tabs>
        <w:spacing w:lineRule="auto" w:line="360"/>
        <w:rPr>
          <w:rFonts w:ascii="Times New Roman" w:hAnsi="Times New Roman"/>
        </w:rPr>
      </w:pPr>
      <w:r>
        <w:rPr>
          <w:rFonts w:ascii="Times New Roman" w:hAnsi="Times New Roman"/>
        </w:rPr>
      </w:r>
    </w:p>
    <w:p>
      <w:pPr>
        <w:pStyle w:val="Normal"/>
        <w:jc w:val="left"/>
        <w:rPr/>
      </w:pPr>
      <w:r>
        <w:rPr>
          <w:rFonts w:eastAsia="PalatinoLinotype" w:ascii="Times New Roman" w:hAnsi="Times New Roman"/>
          <w:sz w:val="24"/>
          <w:szCs w:val="24"/>
        </w:rPr>
        <w:t>18. DA SUBCONTRATAÇÃO.</w:t>
      </w:r>
    </w:p>
    <w:p>
      <w:pPr>
        <w:pStyle w:val="Normal"/>
        <w:jc w:val="left"/>
        <w:rPr>
          <w:rFonts w:ascii="Times New Roman" w:hAnsi="Times New Roman" w:eastAsia="PalatinoLinotype"/>
          <w:sz w:val="24"/>
          <w:szCs w:val="24"/>
        </w:rPr>
      </w:pPr>
      <w:r>
        <w:rPr>
          <w:rFonts w:eastAsia="PalatinoLinotype" w:ascii="Times New Roman" w:hAnsi="Times New Roman"/>
          <w:sz w:val="24"/>
          <w:szCs w:val="24"/>
        </w:rPr>
      </w:r>
    </w:p>
    <w:p>
      <w:pPr>
        <w:pStyle w:val="Normal"/>
        <w:jc w:val="left"/>
        <w:rPr/>
      </w:pPr>
      <w:r>
        <w:rPr>
          <w:rFonts w:eastAsia="PalatinoLinotype" w:ascii="Times New Roman" w:hAnsi="Times New Roman"/>
          <w:sz w:val="24"/>
          <w:szCs w:val="24"/>
        </w:rPr>
        <w:t>18.1. Não será admitida a subcontratação do objeto licitatório.</w:t>
      </w:r>
    </w:p>
    <w:p>
      <w:pPr>
        <w:pStyle w:val="Normal"/>
        <w:jc w:val="left"/>
        <w:rPr>
          <w:rFonts w:ascii="Times New Roman" w:hAnsi="Times New Roman" w:eastAsia="PalatinoLinotype"/>
          <w:sz w:val="24"/>
          <w:szCs w:val="24"/>
        </w:rPr>
      </w:pPr>
      <w:r>
        <w:rPr>
          <w:rFonts w:eastAsia="PalatinoLinotype" w:ascii="Times New Roman" w:hAnsi="Times New Roman"/>
          <w:sz w:val="24"/>
          <w:szCs w:val="24"/>
        </w:rPr>
      </w:r>
    </w:p>
    <w:p>
      <w:pPr>
        <w:pStyle w:val="Normal"/>
        <w:jc w:val="left"/>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jc w:val="left"/>
        <w:rPr/>
      </w:pPr>
      <w:r>
        <w:rPr>
          <w:rFonts w:eastAsia="PalatinoLinotype" w:ascii="Times New Roman" w:hAnsi="Times New Roman"/>
          <w:sz w:val="24"/>
          <w:szCs w:val="24"/>
        </w:rPr>
        <w:t>19. ALTERAÇÃO SUBJETIVA.</w:t>
      </w:r>
    </w:p>
    <w:p>
      <w:pPr>
        <w:pStyle w:val="Normal"/>
        <w:spacing w:lineRule="auto" w:line="360"/>
        <w:rPr/>
      </w:pPr>
      <w:r>
        <w:rPr>
          <w:rFonts w:eastAsia="PalatinoLinotype" w:ascii="Times New Roman" w:hAnsi="Times New Roman"/>
          <w:sz w:val="24"/>
          <w:szCs w:val="24"/>
        </w:rPr>
        <w:t>19.1.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r>
    </w:p>
    <w:p>
      <w:pPr>
        <w:pStyle w:val="Normal"/>
        <w:spacing w:lineRule="auto" w:line="360" w:before="0" w:after="0"/>
        <w:jc w:val="left"/>
        <w:rPr/>
      </w:pPr>
      <w:r>
        <w:rPr>
          <w:rFonts w:eastAsia="PalatinoLinotype" w:ascii="Times New Roman" w:hAnsi="Times New Roman"/>
          <w:sz w:val="24"/>
          <w:szCs w:val="24"/>
        </w:rPr>
        <w:t xml:space="preserve">20. </w:t>
      </w:r>
      <w:r>
        <w:rPr>
          <w:rFonts w:eastAsia="PalatinoLinotype" w:ascii="Times New Roman" w:hAnsi="Times New Roman"/>
          <w:color w:val="000000" w:themeColor="text1"/>
          <w:sz w:val="24"/>
          <w:szCs w:val="24"/>
        </w:rPr>
        <w:t>O CONTROLE E FISCALIZAÇÃO DA EXECUÇÃO DOS SERVIÇOS.</w:t>
      </w:r>
    </w:p>
    <w:p>
      <w:pPr>
        <w:pStyle w:val="ListParagraph"/>
        <w:spacing w:lineRule="auto" w:line="360" w:before="0" w:after="0"/>
        <w:ind w:left="0" w:hanging="0"/>
        <w:rPr/>
      </w:pPr>
      <w:r>
        <w:rPr>
          <w:rFonts w:ascii="Times New Roman" w:hAnsi="Times New Roman"/>
          <w:sz w:val="24"/>
          <w:szCs w:val="24"/>
          <w:lang w:eastAsia="en-US"/>
        </w:rPr>
        <w:t xml:space="preserve">20.1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pPr>
        <w:pStyle w:val="ListParagraph"/>
        <w:spacing w:lineRule="auto" w:line="360" w:before="0" w:after="0"/>
        <w:ind w:left="0" w:hanging="0"/>
        <w:rPr/>
      </w:pPr>
      <w:r>
        <w:rPr>
          <w:rFonts w:ascii="Times New Roman" w:hAnsi="Times New Roman"/>
          <w:sz w:val="24"/>
          <w:szCs w:val="24"/>
          <w:lang w:eastAsia="en-US"/>
        </w:rPr>
        <w:t xml:space="preserve">20.2 O conjunto de atividades de gestão e fiscalização compete ao gestor da execução do contrato, podendo ser auxiliado pela fiscalização técnica, administrativa, setorial e pelo público usuário, de acordo com as seguintes disposições: </w:t>
      </w:r>
    </w:p>
    <w:p>
      <w:pPr>
        <w:pStyle w:val="ListParagraph"/>
        <w:spacing w:lineRule="auto" w:line="360" w:before="0" w:after="0"/>
        <w:ind w:left="708" w:hanging="0"/>
        <w:rPr/>
      </w:pPr>
      <w:r>
        <w:rPr>
          <w:rFonts w:ascii="Times New Roman" w:hAnsi="Times New Roman"/>
          <w:sz w:val="24"/>
          <w:szCs w:val="24"/>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ListParagraph"/>
        <w:spacing w:lineRule="auto" w:line="360" w:before="0" w:after="0"/>
        <w:ind w:left="708" w:hanging="0"/>
        <w:rPr/>
      </w:pPr>
      <w:r>
        <w:rPr>
          <w:rFonts w:ascii="Times New Roman" w:hAnsi="Times New Roman"/>
          <w:sz w:val="24"/>
          <w:szCs w:val="24"/>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ListParagraph"/>
        <w:spacing w:lineRule="auto" w:line="360" w:before="0" w:after="0"/>
        <w:ind w:left="708" w:hanging="0"/>
        <w:rPr/>
      </w:pPr>
      <w:r>
        <w:rPr>
          <w:rFonts w:ascii="Times New Roman" w:hAnsi="Times New Roman"/>
          <w:sz w:val="24"/>
          <w:szCs w:val="24"/>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ListParagraph"/>
        <w:spacing w:lineRule="auto" w:line="360" w:before="0" w:after="0"/>
        <w:ind w:left="708" w:hanging="0"/>
        <w:rPr/>
      </w:pPr>
      <w:r>
        <w:rPr>
          <w:rFonts w:ascii="Times New Roman" w:hAnsi="Times New Roman"/>
          <w:sz w:val="24"/>
          <w:szCs w:val="24"/>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ListParagraph"/>
        <w:spacing w:lineRule="auto" w:line="360" w:before="0" w:after="0"/>
        <w:ind w:left="708" w:hanging="0"/>
        <w:rPr/>
      </w:pPr>
      <w:r>
        <w:rPr>
          <w:rFonts w:ascii="Times New Roman" w:hAnsi="Times New Roman"/>
          <w:sz w:val="24"/>
          <w:szCs w:val="24"/>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ListParagraph"/>
        <w:spacing w:lineRule="auto" w:line="360" w:before="0" w:after="0"/>
        <w:ind w:left="0" w:hanging="0"/>
        <w:rPr>
          <w:lang w:eastAsia="en-US"/>
        </w:rPr>
      </w:pPr>
      <w:r>
        <w:rPr>
          <w:rFonts w:ascii="Times New Roman" w:hAnsi="Times New Roman"/>
          <w:sz w:val="24"/>
          <w:szCs w:val="24"/>
          <w:lang w:eastAsia="en-US"/>
        </w:rPr>
        <w:tab/>
        <w:t xml:space="preserve">20.2.1 Quando a contratação exigir fiscalização setorial, o órgão ou entidade deverá designar representantes nesses locais para atuarem como fiscais setoriais. </w:t>
      </w:r>
    </w:p>
    <w:p>
      <w:pPr>
        <w:pStyle w:val="Normal"/>
        <w:spacing w:lineRule="auto" w:line="360" w:before="0" w:after="0"/>
        <w:rPr>
          <w:lang w:eastAsia="en-US"/>
        </w:rPr>
      </w:pPr>
      <w:r>
        <w:rPr>
          <w:rFonts w:ascii="Times New Roman" w:hAnsi="Times New Roman"/>
          <w:sz w:val="24"/>
          <w:szCs w:val="24"/>
          <w:lang w:eastAsia="en-US"/>
        </w:rPr>
        <w:t xml:space="preserve">20.3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ListParagraph"/>
        <w:spacing w:lineRule="auto" w:line="360" w:before="0" w:after="0"/>
        <w:ind w:left="0" w:hanging="0"/>
        <w:rPr>
          <w:lang w:eastAsia="en-US"/>
        </w:rPr>
      </w:pPr>
      <w:r>
        <w:rPr>
          <w:rFonts w:ascii="Times New Roman" w:hAnsi="Times New Roman"/>
          <w:sz w:val="24"/>
          <w:szCs w:val="24"/>
          <w:lang w:eastAsia="en-US"/>
        </w:rPr>
        <w:t>20.4 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ListParagraph"/>
        <w:spacing w:lineRule="auto" w:line="360" w:before="0" w:after="0"/>
        <w:ind w:left="0" w:hanging="0"/>
        <w:rPr>
          <w:lang w:eastAsia="en-US"/>
        </w:rPr>
      </w:pPr>
      <w:r>
        <w:rPr>
          <w:rFonts w:ascii="Times New Roman" w:hAnsi="Times New Roman"/>
          <w:sz w:val="24"/>
          <w:szCs w:val="24"/>
          <w:lang w:eastAsia="en-US"/>
        </w:rPr>
        <w:t xml:space="preserve">20.5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spacing w:lineRule="auto" w:line="360" w:before="0" w:after="0"/>
        <w:ind w:left="0" w:hanging="0"/>
        <w:rPr/>
      </w:pPr>
      <w:r>
        <w:rPr>
          <w:rFonts w:ascii="Times New Roman" w:hAnsi="Times New Roman"/>
          <w:sz w:val="24"/>
          <w:szCs w:val="24"/>
          <w:lang w:eastAsia="en-US"/>
        </w:rPr>
        <w:tab/>
        <w:t>20.5.1 No primeiro mês da prestação dos serviços, a Contratada deverá apresentar a seguinte documentação:</w:t>
      </w:r>
    </w:p>
    <w:p>
      <w:pPr>
        <w:pStyle w:val="ListParagraph"/>
        <w:numPr>
          <w:ilvl w:val="0"/>
          <w:numId w:val="8"/>
        </w:numPr>
        <w:spacing w:lineRule="auto" w:line="360" w:before="0" w:after="0"/>
        <w:ind w:left="0" w:hanging="0"/>
        <w:rPr/>
      </w:pPr>
      <w:r>
        <w:rPr>
          <w:rFonts w:ascii="Times New Roman" w:hAnsi="Times New Roman"/>
          <w:sz w:val="24"/>
          <w:szCs w:val="24"/>
          <w:lang w:eastAsia="en-US"/>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Cópia da Carteira de Trabalho e Previdência Social (CTPS) dos empregados admitidos e dos responsáveis técnicos pela execução dos serviços, quando for o caso, devidamente assinada pela Contratada; e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Exames médicos admissionais dos empregados da Contratada que prestarão os serviços. </w:t>
      </w:r>
    </w:p>
    <w:p>
      <w:pPr>
        <w:pStyle w:val="ListParagraph"/>
        <w:widowControl/>
        <w:bidi w:val="0"/>
        <w:spacing w:lineRule="auto" w:line="360" w:before="0" w:after="0"/>
        <w:ind w:left="0" w:right="0" w:firstLine="794"/>
        <w:jc w:val="both"/>
        <w:rPr/>
      </w:pPr>
      <w:r>
        <w:rPr>
          <w:rFonts w:ascii="Times New Roman" w:hAnsi="Times New Roman"/>
          <w:sz w:val="24"/>
          <w:szCs w:val="24"/>
          <w:lang w:eastAsia="en-US"/>
        </w:rPr>
        <w:t>20.5.2 Quando da extinção ou rescisão do contrato, após o último mês de prestação dos serviços, no prazo definido no contrato:</w:t>
      </w:r>
    </w:p>
    <w:p>
      <w:pPr>
        <w:pStyle w:val="ListParagraph"/>
        <w:widowControl/>
        <w:numPr>
          <w:ilvl w:val="0"/>
          <w:numId w:val="9"/>
        </w:numPr>
        <w:bidi w:val="0"/>
        <w:spacing w:lineRule="auto" w:line="360" w:before="0" w:after="0"/>
        <w:ind w:left="0" w:right="0" w:hanging="0"/>
        <w:jc w:val="both"/>
        <w:rPr/>
      </w:pPr>
      <w:r>
        <w:rPr>
          <w:rFonts w:ascii="Times New Roman" w:hAnsi="Times New Roman"/>
          <w:sz w:val="24"/>
          <w:szCs w:val="24"/>
          <w:lang w:eastAsia="en-US"/>
        </w:rPr>
        <w:t xml:space="preserve">Termos de rescisão dos contratos de trabalho dos empregados prestadores de serviço, devidamente homologados, quando exigível pelo sindicato da categoria; </w:t>
      </w:r>
    </w:p>
    <w:p>
      <w:pPr>
        <w:pStyle w:val="ListParagraph"/>
        <w:widowControl/>
        <w:numPr>
          <w:ilvl w:val="0"/>
          <w:numId w:val="9"/>
        </w:numPr>
        <w:bidi w:val="0"/>
        <w:spacing w:lineRule="auto" w:line="360" w:before="0" w:after="0"/>
        <w:ind w:left="0" w:right="0" w:hanging="0"/>
        <w:jc w:val="both"/>
        <w:rPr/>
      </w:pPr>
      <w:r>
        <w:rPr>
          <w:rFonts w:ascii="Times New Roman" w:hAnsi="Times New Roman"/>
          <w:sz w:val="24"/>
          <w:szCs w:val="24"/>
          <w:lang w:eastAsia="en-US"/>
        </w:rPr>
        <w:t xml:space="preserve">Guias de recolhimento da contribuição previdenciária e do FGTS, referentes às rescisões contratuais; </w:t>
      </w:r>
    </w:p>
    <w:p>
      <w:pPr>
        <w:pStyle w:val="ListParagraph"/>
        <w:widowControl/>
        <w:numPr>
          <w:ilvl w:val="0"/>
          <w:numId w:val="9"/>
        </w:numPr>
        <w:bidi w:val="0"/>
        <w:spacing w:lineRule="auto" w:line="360" w:before="0" w:after="0"/>
        <w:ind w:left="0" w:right="0" w:hanging="0"/>
        <w:jc w:val="both"/>
        <w:rPr/>
      </w:pPr>
      <w:r>
        <w:rPr>
          <w:rFonts w:ascii="Times New Roman" w:hAnsi="Times New Roman"/>
          <w:sz w:val="24"/>
          <w:szCs w:val="24"/>
          <w:lang w:eastAsia="en-US"/>
        </w:rPr>
        <w:t xml:space="preserve">Extratos dos depósitos efetuados nas contas vinculadas individuais do FGTS de cada empregado dispensado; </w:t>
      </w:r>
    </w:p>
    <w:p>
      <w:pPr>
        <w:pStyle w:val="ListParagraph"/>
        <w:widowControl/>
        <w:numPr>
          <w:ilvl w:val="0"/>
          <w:numId w:val="9"/>
        </w:numPr>
        <w:bidi w:val="0"/>
        <w:spacing w:lineRule="auto" w:line="360" w:before="0" w:after="0"/>
        <w:ind w:left="0" w:right="0" w:hanging="0"/>
        <w:jc w:val="both"/>
        <w:rPr/>
      </w:pPr>
      <w:r>
        <w:rPr>
          <w:rFonts w:ascii="Times New Roman" w:hAnsi="Times New Roman"/>
          <w:sz w:val="24"/>
          <w:szCs w:val="24"/>
          <w:lang w:eastAsia="en-US"/>
        </w:rPr>
        <w:t xml:space="preserve">Exames médicos demissionais dos empregados dispensados. </w:t>
      </w:r>
    </w:p>
    <w:p>
      <w:pPr>
        <w:pStyle w:val="Normal"/>
        <w:spacing w:lineRule="auto" w:line="360" w:before="0" w:after="0"/>
        <w:rPr/>
      </w:pPr>
      <w:r>
        <w:rPr>
          <w:rFonts w:ascii="Times New Roman" w:hAnsi="Times New Roman"/>
          <w:sz w:val="24"/>
          <w:szCs w:val="24"/>
        </w:rPr>
        <w:t>20.6 A Contratante deverá analisar a documentação do item 20.5.2 no prazo de 30 (trinta) dias após o recebimento dos documentos, prorrogáveis por mais 30 (trinta) dias, justificadamente.</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20.7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pPr>
        <w:pStyle w:val="Normal"/>
        <w:spacing w:lineRule="auto" w:line="360" w:before="0" w:after="0"/>
        <w:rPr/>
      </w:pPr>
      <w:r>
        <w:rPr>
          <w:rFonts w:ascii="Times New Roman" w:hAnsi="Times New Roman"/>
          <w:sz w:val="24"/>
          <w:szCs w:val="24"/>
        </w:rPr>
        <w:t>20.8 Sempre que houver admissão de novos empregados pela Contratada, os documentos elencados no subitem 20</w:t>
      </w:r>
      <w:r>
        <w:rPr>
          <w:rFonts w:ascii="Times New Roman" w:hAnsi="Times New Roman"/>
          <w:color w:val="ED1C24"/>
          <w:sz w:val="24"/>
          <w:szCs w:val="24"/>
        </w:rPr>
        <w:t>.</w:t>
      </w:r>
      <w:r>
        <w:rPr>
          <w:rFonts w:ascii="Times New Roman" w:hAnsi="Times New Roman"/>
          <w:color w:val="00000A"/>
          <w:sz w:val="24"/>
          <w:szCs w:val="24"/>
        </w:rPr>
        <w:t>5.1</w:t>
      </w:r>
      <w:r>
        <w:rPr>
          <w:rFonts w:ascii="Times New Roman" w:hAnsi="Times New Roman"/>
          <w:sz w:val="24"/>
          <w:szCs w:val="24"/>
        </w:rPr>
        <w:t xml:space="preserve"> acima deverão ser apresentados.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20.9 Em caso de indício de irregularidade no recolhimento das contribuições previdenciárias, os fiscais ou gestores do contrato deverão oficiar à Receita Federal do Brasil (RFB).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20.10 Em caso de indício de irregularidade no recolhimento da contribuição para o FGTS, os fiscais ou gestores do contrato deverão oficiar ao Ministério do Trabalho.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20.11 O descumprimento das obrigações trabalhistas ou a não manutenção das condições de habilitação pela Contratada poderá dar ensejo à rescisão contratual, sem prejuízo das demais sanções.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20.12 A Contratante poderá conceder prazo para que a Contratada regularize suas obrigações trabalhistas ou suas condições de habilitação, sob pena de rescisão contratual, quando não identificar má-fé ou a incapacidade de correção.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20.13 Além das disposições acima citadas, a fiscalização administrativa observará, ainda, as seguintes diretrizes: </w:t>
      </w:r>
    </w:p>
    <w:p>
      <w:pPr>
        <w:pStyle w:val="Normal"/>
        <w:spacing w:lineRule="auto" w:line="360" w:before="0" w:after="0"/>
        <w:rPr/>
      </w:pPr>
      <w:r>
        <w:rPr>
          <w:rFonts w:ascii="Times New Roman" w:hAnsi="Times New Roman"/>
          <w:sz w:val="24"/>
          <w:szCs w:val="24"/>
        </w:rPr>
        <w:tab/>
        <w:t>20.13.1 Fiscalização inicial (no momento em que a prestação de serviços é iniciada):</w:t>
      </w:r>
    </w:p>
    <w:p>
      <w:pPr>
        <w:pStyle w:val="Normal"/>
        <w:numPr>
          <w:ilvl w:val="0"/>
          <w:numId w:val="4"/>
        </w:numPr>
        <w:spacing w:lineRule="auto" w:line="360" w:before="0" w:after="0"/>
        <w:rPr/>
      </w:pPr>
      <w:r>
        <w:rPr>
          <w:rFonts w:ascii="Times New Roman" w:hAnsi="Times New Roman"/>
          <w:sz w:val="24"/>
          <w:szCs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Normal"/>
        <w:numPr>
          <w:ilvl w:val="0"/>
          <w:numId w:val="4"/>
        </w:numPr>
        <w:spacing w:lineRule="auto" w:line="360" w:before="0" w:after="0"/>
        <w:rPr/>
      </w:pPr>
      <w:r>
        <w:rPr>
          <w:rFonts w:ascii="Times New Roman" w:hAnsi="Times New Roman"/>
          <w:sz w:val="24"/>
          <w:szCs w:val="24"/>
        </w:rPr>
        <w:t>Todas as anotações contidas na CTPS dos empregados serão conferidas, a fim de que se possa verificar se as informações nelas inseridas coincidem com as informações fornecidas pela Contratada e pelo empregado;</w:t>
      </w:r>
    </w:p>
    <w:p>
      <w:pPr>
        <w:pStyle w:val="Normal"/>
        <w:numPr>
          <w:ilvl w:val="0"/>
          <w:numId w:val="4"/>
        </w:numPr>
        <w:spacing w:lineRule="auto" w:line="360" w:before="0" w:after="0"/>
        <w:rPr/>
      </w:pPr>
      <w:r>
        <w:rPr>
          <w:rFonts w:ascii="Times New Roman" w:hAnsi="Times New Roman"/>
          <w:sz w:val="24"/>
          <w:szCs w:val="24"/>
        </w:rPr>
        <w:t>O número de terceirizados por função deve coincidir com o previsto no contrato administrativo;</w:t>
      </w:r>
    </w:p>
    <w:p>
      <w:pPr>
        <w:pStyle w:val="Normal"/>
        <w:numPr>
          <w:ilvl w:val="0"/>
          <w:numId w:val="4"/>
        </w:numPr>
        <w:spacing w:lineRule="auto" w:line="360" w:before="0" w:after="0"/>
        <w:rPr/>
      </w:pPr>
      <w:r>
        <w:rPr>
          <w:rFonts w:ascii="Times New Roman" w:hAnsi="Times New Roman"/>
          <w:sz w:val="24"/>
          <w:szCs w:val="24"/>
        </w:rPr>
        <w:t>O salário não pode ser inferior ao previsto no contrato administrativo e na Convenção Coletiva de Trabalho da Categoria (CCT);</w:t>
      </w:r>
    </w:p>
    <w:p>
      <w:pPr>
        <w:pStyle w:val="Normal"/>
        <w:numPr>
          <w:ilvl w:val="0"/>
          <w:numId w:val="4"/>
        </w:numPr>
        <w:spacing w:lineRule="auto" w:line="360" w:before="0" w:after="0"/>
        <w:rPr/>
      </w:pPr>
      <w:r>
        <w:rPr>
          <w:rFonts w:ascii="Times New Roman" w:hAnsi="Times New Roman"/>
          <w:sz w:val="24"/>
          <w:szCs w:val="24"/>
        </w:rPr>
        <w:t>Serão consultadas eventuais obrigações adicionais constantes na CCT para a Contratada;</w:t>
      </w:r>
    </w:p>
    <w:p>
      <w:pPr>
        <w:pStyle w:val="Normal"/>
        <w:numPr>
          <w:ilvl w:val="0"/>
          <w:numId w:val="4"/>
        </w:numPr>
        <w:spacing w:lineRule="auto" w:line="360" w:before="0" w:after="0"/>
        <w:rPr/>
      </w:pPr>
      <w:r>
        <w:rPr>
          <w:rFonts w:ascii="Times New Roman" w:hAnsi="Times New Roman"/>
          <w:sz w:val="24"/>
          <w:szCs w:val="24"/>
        </w:rPr>
        <w:t>Será verificada a existência de condições insalubres ou de periculosidade no local de trabalho que obriguem a empresa a fornecer determinados Equipamentos de Proteção Individual (EPI).</w:t>
      </w:r>
    </w:p>
    <w:p>
      <w:pPr>
        <w:pStyle w:val="Normal"/>
        <w:spacing w:lineRule="auto" w:line="360" w:before="0" w:after="0"/>
        <w:rPr/>
      </w:pPr>
      <w:r>
        <w:rPr>
          <w:rFonts w:ascii="Times New Roman" w:hAnsi="Times New Roman"/>
          <w:sz w:val="24"/>
          <w:szCs w:val="24"/>
        </w:rPr>
        <w:t>20.13.2 Fiscalização mensal (a ser feita antes do pagamento da fatura):</w:t>
      </w:r>
    </w:p>
    <w:p>
      <w:pPr>
        <w:pStyle w:val="Normal"/>
        <w:numPr>
          <w:ilvl w:val="0"/>
          <w:numId w:val="3"/>
        </w:numPr>
        <w:spacing w:lineRule="auto" w:line="360" w:before="0" w:after="0"/>
        <w:rPr/>
      </w:pPr>
      <w:r>
        <w:rPr>
          <w:rFonts w:ascii="Times New Roman" w:hAnsi="Times New Roman"/>
          <w:sz w:val="24"/>
          <w:szCs w:val="24"/>
        </w:rPr>
        <w:t>Deve ser feita a retenção da contribuição previdenciária no valor de 11% (onze por cento) sobre o valor da fatura e dos impostos incidentes sobre a prestação do serviço;</w:t>
      </w:r>
    </w:p>
    <w:p>
      <w:pPr>
        <w:pStyle w:val="Normal"/>
        <w:numPr>
          <w:ilvl w:val="0"/>
          <w:numId w:val="3"/>
        </w:numPr>
        <w:spacing w:lineRule="auto" w:line="360" w:before="0" w:after="0"/>
        <w:rPr/>
      </w:pPr>
      <w:r>
        <w:rPr>
          <w:rFonts w:ascii="Times New Roman" w:hAnsi="Times New Roman"/>
          <w:sz w:val="24"/>
          <w:szCs w:val="24"/>
        </w:rPr>
        <w:t>Deve ser consultada a situação da empresa junto ao SICAF;</w:t>
      </w:r>
    </w:p>
    <w:p>
      <w:pPr>
        <w:pStyle w:val="Normal"/>
        <w:numPr>
          <w:ilvl w:val="0"/>
          <w:numId w:val="3"/>
        </w:numPr>
        <w:spacing w:lineRule="auto" w:line="360" w:before="0" w:after="0"/>
        <w:rPr/>
      </w:pPr>
      <w:r>
        <w:rPr>
          <w:rFonts w:ascii="Times New Roman" w:hAnsi="Times New Roman"/>
          <w:sz w:val="24"/>
          <w:szCs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numPr>
          <w:ilvl w:val="0"/>
          <w:numId w:val="3"/>
        </w:numPr>
        <w:spacing w:lineRule="auto" w:line="360" w:before="0" w:after="0"/>
        <w:rPr/>
      </w:pPr>
      <w:r>
        <w:rPr>
          <w:rFonts w:ascii="Times New Roman" w:hAnsi="Times New Roman"/>
          <w:sz w:val="24"/>
          <w:szCs w:val="24"/>
        </w:rPr>
        <w:t xml:space="preserve">Deverá ser exigida, quando couber, comprovação de que a empresa mantém reserva de cargos para pessoa com deficiência ou para reabilitado da Previdência Social, conforme disposto no art. </w:t>
      </w:r>
      <w:r>
        <w:rPr>
          <w:rFonts w:ascii="Times New Roman" w:hAnsi="Times New Roman"/>
          <w:color w:val="00000A"/>
          <w:sz w:val="24"/>
          <w:szCs w:val="24"/>
        </w:rPr>
        <w:t>66-A da Lei nº 8.666, de 1993.</w:t>
      </w:r>
    </w:p>
    <w:p>
      <w:pPr>
        <w:pStyle w:val="Normal"/>
        <w:spacing w:lineRule="auto" w:line="360" w:before="0" w:after="0"/>
        <w:rPr>
          <w:rFonts w:ascii="Times New Roman" w:hAnsi="Times New Roman"/>
          <w:sz w:val="24"/>
          <w:szCs w:val="24"/>
        </w:rPr>
      </w:pPr>
      <w:r>
        <w:rPr>
          <w:rFonts w:ascii="Times New Roman" w:hAnsi="Times New Roman"/>
          <w:sz w:val="24"/>
          <w:szCs w:val="24"/>
        </w:rPr>
        <w:t>20.13.3. Fiscalização diária:</w:t>
      </w:r>
    </w:p>
    <w:p>
      <w:pPr>
        <w:pStyle w:val="Normal"/>
        <w:spacing w:lineRule="auto" w:line="360" w:before="0" w:after="0"/>
        <w:rPr>
          <w:rFonts w:ascii="Times New Roman" w:hAnsi="Times New Roman"/>
          <w:sz w:val="24"/>
          <w:szCs w:val="24"/>
        </w:rPr>
      </w:pPr>
      <w:r>
        <w:rPr>
          <w:rFonts w:ascii="Times New Roman" w:hAnsi="Times New Roman"/>
          <w:sz w:val="24"/>
          <w:szCs w:val="24"/>
        </w:rPr>
        <w:tab/>
        <w:t>20.13.3.1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pStyle w:val="Normal"/>
        <w:spacing w:lineRule="auto" w:line="360" w:before="0" w:after="0"/>
        <w:rPr>
          <w:rFonts w:ascii="Times New Roman" w:hAnsi="Times New Roman"/>
          <w:sz w:val="24"/>
          <w:szCs w:val="24"/>
        </w:rPr>
      </w:pPr>
      <w:r>
        <w:rPr>
          <w:rFonts w:ascii="Times New Roman" w:hAnsi="Times New Roman"/>
          <w:sz w:val="24"/>
          <w:szCs w:val="24"/>
        </w:rPr>
        <w:tab/>
        <w:t>20.13.3.2 Toda e qualquer alteração na forma de prestação do serviço, como a negociação de folgas ou a compensação de jornada, deve ser evitada, uma vez que essa conduta é exclusiva da Contratada.</w:t>
      </w:r>
    </w:p>
    <w:p>
      <w:pPr>
        <w:pStyle w:val="Normal"/>
        <w:spacing w:lineRule="auto" w:line="360" w:before="0" w:after="0"/>
        <w:rPr>
          <w:rFonts w:ascii="Times New Roman" w:hAnsi="Times New Roman"/>
          <w:sz w:val="24"/>
          <w:szCs w:val="24"/>
        </w:rPr>
      </w:pPr>
      <w:r>
        <w:rPr>
          <w:rFonts w:ascii="Times New Roman" w:hAnsi="Times New Roman"/>
          <w:sz w:val="24"/>
          <w:szCs w:val="24"/>
        </w:rPr>
        <w:tab/>
        <w:t>20.13.3.3 Devem ser conferidos, por amostragem, diariamente, os empregados terceirizados que estão prestando serviços e em quais funções, e se estão cumprindo a jornada de trabalho</w:t>
      </w:r>
    </w:p>
    <w:p>
      <w:pPr>
        <w:pStyle w:val="Normal"/>
        <w:spacing w:lineRule="auto" w:line="360" w:before="0" w:after="0"/>
        <w:rPr>
          <w:rFonts w:ascii="Times New Roman" w:hAnsi="Times New Roman"/>
          <w:sz w:val="24"/>
          <w:szCs w:val="24"/>
        </w:rPr>
      </w:pPr>
      <w:r>
        <w:rPr>
          <w:rFonts w:ascii="Times New Roman" w:hAnsi="Times New Roman"/>
          <w:sz w:val="24"/>
          <w:szCs w:val="24"/>
        </w:rPr>
        <w:t>20.14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Normal"/>
        <w:spacing w:lineRule="auto" w:line="360" w:before="0" w:after="0"/>
        <w:rPr>
          <w:rFonts w:ascii="Times New Roman" w:hAnsi="Times New Roman"/>
          <w:sz w:val="24"/>
          <w:szCs w:val="24"/>
        </w:rPr>
      </w:pPr>
      <w:r>
        <w:rPr>
          <w:rFonts w:ascii="Times New Roman" w:hAnsi="Times New Roman"/>
          <w:sz w:val="24"/>
          <w:szCs w:val="24"/>
        </w:rPr>
        <w:t>20.15 A Contratante deverá solicitar, por amostragem, aos empregados, seus extratos da conta do FGTS e que verifiquem se as contribuições previdenciárias e do FGTS estão sendo recolhidas em seus nomes.</w:t>
      </w:r>
    </w:p>
    <w:p>
      <w:pPr>
        <w:pStyle w:val="Normal"/>
        <w:spacing w:lineRule="auto" w:line="360" w:before="0" w:after="0"/>
        <w:rPr>
          <w:rFonts w:ascii="Times New Roman" w:hAnsi="Times New Roman"/>
          <w:sz w:val="24"/>
          <w:szCs w:val="24"/>
        </w:rPr>
      </w:pPr>
      <w:r>
        <w:rPr>
          <w:rFonts w:ascii="Times New Roman" w:hAnsi="Times New Roman"/>
          <w:sz w:val="24"/>
          <w:szCs w:val="24"/>
        </w:rPr>
        <w:tab/>
        <w:t>20.15.1 Ao final de um ano, todos os empregados devem ter seus extratos avaliados.</w:t>
      </w:r>
    </w:p>
    <w:p>
      <w:pPr>
        <w:pStyle w:val="Normal"/>
        <w:spacing w:lineRule="auto" w:line="360" w:before="0" w:after="0"/>
        <w:rPr/>
      </w:pPr>
      <w:r>
        <w:rPr>
          <w:rFonts w:ascii="Times New Roman" w:hAnsi="Times New Roman"/>
          <w:sz w:val="24"/>
          <w:szCs w:val="24"/>
        </w:rPr>
        <w:t>20.16 A Contratada deverá entregar, no prazo de 07 (sete) dias úteis, quando solicitado pela Contratante quaisquer dos seguintes documentos:</w:t>
      </w:r>
    </w:p>
    <w:p>
      <w:pPr>
        <w:pStyle w:val="Normal"/>
        <w:spacing w:lineRule="auto" w:line="360" w:before="0" w:after="0"/>
        <w:rPr>
          <w:rFonts w:ascii="Times New Roman" w:hAnsi="Times New Roman"/>
          <w:sz w:val="24"/>
          <w:szCs w:val="24"/>
        </w:rPr>
      </w:pPr>
      <w:r>
        <w:rPr>
          <w:rFonts w:ascii="Times New Roman" w:hAnsi="Times New Roman"/>
          <w:sz w:val="24"/>
          <w:szCs w:val="24"/>
        </w:rPr>
        <w:tab/>
        <w:t>20.16.1 extrato da conta do INSS e do FGTS de qualquer empregado, a critério da Contratante;</w:t>
      </w:r>
    </w:p>
    <w:p>
      <w:pPr>
        <w:pStyle w:val="Normal"/>
        <w:spacing w:lineRule="auto" w:line="360" w:before="0" w:after="0"/>
        <w:rPr>
          <w:rFonts w:ascii="Times New Roman" w:hAnsi="Times New Roman"/>
          <w:sz w:val="24"/>
          <w:szCs w:val="24"/>
        </w:rPr>
      </w:pPr>
      <w:r>
        <w:rPr>
          <w:rFonts w:ascii="Times New Roman" w:hAnsi="Times New Roman"/>
          <w:sz w:val="24"/>
          <w:szCs w:val="24"/>
        </w:rPr>
        <w:tab/>
        <w:t>20.16.2 cópia da folha de pagamento analítica de qualquer mês da prestação dos serviços, em que conste como tomador a Contratante;</w:t>
      </w:r>
    </w:p>
    <w:p>
      <w:pPr>
        <w:pStyle w:val="Normal"/>
        <w:spacing w:lineRule="auto" w:line="360" w:before="0" w:after="0"/>
        <w:rPr>
          <w:rFonts w:ascii="Times New Roman" w:hAnsi="Times New Roman"/>
          <w:sz w:val="24"/>
          <w:szCs w:val="24"/>
        </w:rPr>
      </w:pPr>
      <w:r>
        <w:rPr>
          <w:rFonts w:ascii="Times New Roman" w:hAnsi="Times New Roman"/>
          <w:sz w:val="24"/>
          <w:szCs w:val="24"/>
        </w:rPr>
        <w:tab/>
        <w:t>20.16.3 cópia dos contracheques assinados dos empregados relativos a qualquer mês da prestação dos serviços ou, ainda, quando necessário, cópia de recibos de depósitos bancários; e</w:t>
      </w:r>
    </w:p>
    <w:p>
      <w:pPr>
        <w:pStyle w:val="Normal"/>
        <w:spacing w:lineRule="auto" w:line="360" w:before="0" w:after="0"/>
        <w:rPr>
          <w:rFonts w:ascii="Times New Roman" w:hAnsi="Times New Roman"/>
          <w:sz w:val="24"/>
          <w:szCs w:val="24"/>
        </w:rPr>
      </w:pPr>
      <w:r>
        <w:rPr>
          <w:rFonts w:ascii="Times New Roman" w:hAnsi="Times New Roman"/>
          <w:sz w:val="24"/>
          <w:szCs w:val="24"/>
        </w:rPr>
        <w:tab/>
        <w:t>20.16.4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Normal"/>
        <w:spacing w:lineRule="auto" w:line="360" w:before="0" w:after="0"/>
        <w:rPr>
          <w:rFonts w:ascii="Times New Roman" w:hAnsi="Times New Roman"/>
          <w:sz w:val="24"/>
          <w:szCs w:val="24"/>
        </w:rPr>
      </w:pPr>
      <w:r>
        <w:rPr>
          <w:rFonts w:ascii="Times New Roman" w:hAnsi="Times New Roman"/>
          <w:sz w:val="24"/>
          <w:szCs w:val="24"/>
        </w:rPr>
        <w:t>20.17 A fiscalização técnica dos contratos avaliará constantemente a execução do objeto para aferição da qualidade da prestação dos serviços, devendo haver o redimensionamento no pagamento com base nos indicadores estabelecidos, sempre que a Contratada:</w:t>
      </w:r>
    </w:p>
    <w:p>
      <w:pPr>
        <w:pStyle w:val="Normal"/>
        <w:spacing w:lineRule="auto" w:line="360" w:before="0" w:after="0"/>
        <w:rPr>
          <w:rFonts w:ascii="Times New Roman" w:hAnsi="Times New Roman"/>
          <w:sz w:val="24"/>
          <w:szCs w:val="24"/>
        </w:rPr>
      </w:pPr>
      <w:r>
        <w:rPr>
          <w:rFonts w:ascii="Times New Roman" w:hAnsi="Times New Roman"/>
          <w:sz w:val="24"/>
          <w:szCs w:val="24"/>
        </w:rPr>
        <w:tab/>
        <w:t>20.17.1 não produzir os resultados, deixar de executar, ou não executar com a qualidade mínima exigida as atividades Contratadas; ou</w:t>
      </w:r>
    </w:p>
    <w:p>
      <w:pPr>
        <w:pStyle w:val="Normal"/>
        <w:spacing w:lineRule="auto" w:line="360" w:before="0" w:after="0"/>
        <w:rPr/>
      </w:pPr>
      <w:r>
        <w:rPr>
          <w:rFonts w:ascii="Times New Roman" w:hAnsi="Times New Roman"/>
          <w:sz w:val="24"/>
          <w:szCs w:val="24"/>
        </w:rPr>
        <w:tab/>
        <w:t>20.17.2 deixar de utilizar materiais e recursos humanos exigidos para a execução do serviço, ou utilizá-los com qualidade ou quantidade inferior à demandada.</w:t>
      </w:r>
    </w:p>
    <w:p>
      <w:pPr>
        <w:pStyle w:val="Normal"/>
        <w:spacing w:lineRule="auto" w:line="360" w:before="0" w:after="0"/>
        <w:rPr>
          <w:rFonts w:ascii="Times New Roman" w:hAnsi="Times New Roman"/>
          <w:sz w:val="24"/>
          <w:szCs w:val="24"/>
        </w:rPr>
      </w:pPr>
      <w:r>
        <w:rPr>
          <w:rFonts w:ascii="Times New Roman" w:hAnsi="Times New Roman"/>
          <w:sz w:val="24"/>
          <w:szCs w:val="24"/>
        </w:rPr>
        <w:tab/>
        <w:t>20.17.3 A utilização do IMR não impede a aplicação concomitante de outros mecanismos para a avaliação da prestação dos serviços.</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20.18.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20.19. O fiscal técnico deverá apresentar ao preposto da Contratada a avaliação da execução do objeto ou, se for o caso, a avaliação de desempenho e qualidade da prestação dos serviços realizada. </w:t>
      </w:r>
    </w:p>
    <w:p>
      <w:pPr>
        <w:pStyle w:val="Normal"/>
        <w:spacing w:lineRule="auto" w:line="360" w:before="0" w:after="0"/>
        <w:rPr>
          <w:rFonts w:ascii="Times New Roman" w:hAnsi="Times New Roman"/>
          <w:sz w:val="24"/>
          <w:szCs w:val="24"/>
        </w:rPr>
      </w:pPr>
      <w:r>
        <w:rPr>
          <w:rFonts w:ascii="Times New Roman" w:hAnsi="Times New Roman"/>
          <w:sz w:val="24"/>
          <w:szCs w:val="24"/>
        </w:rPr>
        <w:tab/>
        <w:t xml:space="preserve">20.19.1. Em hipótese alguma, será admitido que a própria Contratada materialize a avaliação de desempenho e qualidade da prestação dos serviços realizada.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20.20.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20.22. O fiscal técnico poderá realizar avaliação diária, semanal ou mensal, desde que o período escolhido seja suficiente para avaliar ou, se for o caso, aferir o desempenho e qualidade da prestação dos serviços.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20.23.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Normal"/>
        <w:spacing w:lineRule="auto" w:line="360" w:before="0" w:after="0"/>
        <w:rPr/>
      </w:pPr>
      <w:r>
        <w:rPr>
          <w:rFonts w:ascii="Times New Roman" w:hAnsi="Times New Roman"/>
          <w:sz w:val="24"/>
          <w:szCs w:val="24"/>
        </w:rPr>
        <w:t xml:space="preserve">20.24. A conformidade do material a ser utilizado na execução dos serviços deverá ser verificada  com o documento da Contratada que contenha sua relação detalhada, de acordo com o estabelecido neste Termo de Referência e na proposta, informando as respectivas quantidades e especificações técnicas, tais como: marca, qualidade e forma de uso. </w:t>
      </w:r>
    </w:p>
    <w:p>
      <w:pPr>
        <w:pStyle w:val="Normal"/>
        <w:spacing w:lineRule="auto" w:line="360" w:before="0" w:after="0"/>
        <w:rPr/>
      </w:pPr>
      <w:r>
        <w:rPr>
          <w:rFonts w:ascii="Times New Roman" w:hAnsi="Times New Roman"/>
          <w:sz w:val="24"/>
          <w:szCs w:val="24"/>
        </w:rPr>
        <w:t>20.25. O representante da Contratante deverá promover o registro das ocorrências verificadas, adotando as providências necessárias ao fiel cumprimento das cláusulas contratuais.</w:t>
      </w:r>
    </w:p>
    <w:p>
      <w:pPr>
        <w:pStyle w:val="Normal"/>
        <w:spacing w:lineRule="auto" w:line="360" w:before="0" w:after="0"/>
        <w:rPr/>
      </w:pPr>
      <w:r>
        <w:rPr>
          <w:rFonts w:ascii="Times New Roman" w:hAnsi="Times New Roman"/>
          <w:sz w:val="24"/>
          <w:szCs w:val="24"/>
        </w:rPr>
        <w:t>20.26.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w:t>
      </w:r>
      <w:r>
        <w:rPr>
          <w:rFonts w:ascii="Times New Roman" w:hAnsi="Times New Roman"/>
          <w:color w:val="ED1C24"/>
          <w:sz w:val="24"/>
          <w:szCs w:val="24"/>
        </w:rPr>
        <w:t>.</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20.27.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Normal"/>
        <w:spacing w:lineRule="auto" w:line="360" w:before="0" w:after="0"/>
        <w:rPr>
          <w:rFonts w:ascii="Times New Roman" w:hAnsi="Times New Roman"/>
          <w:sz w:val="24"/>
          <w:szCs w:val="24"/>
        </w:rPr>
      </w:pPr>
      <w:r>
        <w:rPr>
          <w:rFonts w:ascii="Times New Roman" w:hAnsi="Times New Roman"/>
          <w:sz w:val="24"/>
          <w:szCs w:val="24"/>
        </w:rPr>
        <w:tab/>
        <w:t xml:space="preserve">20.27.1. 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Normal"/>
        <w:spacing w:lineRule="auto" w:line="360" w:before="0" w:after="0"/>
        <w:rPr>
          <w:rFonts w:ascii="Times New Roman" w:hAnsi="Times New Roman"/>
          <w:sz w:val="24"/>
          <w:szCs w:val="24"/>
        </w:rPr>
      </w:pPr>
      <w:r>
        <w:rPr>
          <w:rFonts w:ascii="Times New Roman" w:hAnsi="Times New Roman"/>
          <w:sz w:val="24"/>
          <w:szCs w:val="24"/>
        </w:rPr>
        <w:tab/>
        <w:t xml:space="preserve">20.27.2. </w:t>
      </w:r>
      <w:r>
        <w:rPr>
          <w:rFonts w:ascii="Times New Roman" w:hAnsi="Times New Roman"/>
          <w:color w:val="00000A"/>
          <w:sz w:val="24"/>
          <w:szCs w:val="24"/>
        </w:rPr>
        <w:t xml:space="preserve">O sindicato representante da categoria do trabalhador deverá ser notificado pela Contratante para acompanhar o pagamento das verbas mencionadas. </w:t>
      </w:r>
    </w:p>
    <w:p>
      <w:pPr>
        <w:pStyle w:val="Normal"/>
        <w:spacing w:lineRule="auto" w:line="360" w:before="0" w:after="0"/>
        <w:rPr>
          <w:rFonts w:ascii="Times New Roman" w:hAnsi="Times New Roman"/>
          <w:sz w:val="24"/>
          <w:szCs w:val="24"/>
        </w:rPr>
      </w:pPr>
      <w:r>
        <w:rPr>
          <w:rFonts w:ascii="Times New Roman" w:hAnsi="Times New Roman"/>
          <w:color w:val="00000A"/>
          <w:sz w:val="24"/>
          <w:szCs w:val="24"/>
        </w:rPr>
        <w:tab/>
        <w:t xml:space="preserve">20.27.3 Tais pagamentos não configuram vínculo empregatício ou implicam a assunção de responsabilidade por quaisquer obrigações dele decorrentes entre a Contratante e os empregados da Contratada.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20.28.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Normal"/>
        <w:spacing w:lineRule="auto" w:line="360" w:before="0" w:after="0"/>
        <w:rPr/>
      </w:pPr>
      <w:r>
        <w:rPr>
          <w:rFonts w:ascii="Times New Roman" w:hAnsi="Times New Roman"/>
          <w:sz w:val="24"/>
          <w:szCs w:val="24"/>
        </w:rPr>
        <w:t>20.29.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olor w:val="ED1C24"/>
          <w:sz w:val="24"/>
          <w:szCs w:val="24"/>
        </w:rPr>
        <w:t>.</w:t>
      </w:r>
    </w:p>
    <w:p>
      <w:pPr>
        <w:pStyle w:val="Normal"/>
        <w:spacing w:lineRule="auto" w:line="360" w:before="0" w:after="0"/>
        <w:rPr>
          <w:rFonts w:ascii="Times New Roman" w:hAnsi="Times New Roman"/>
          <w:color w:val="ED1C24"/>
          <w:sz w:val="24"/>
          <w:szCs w:val="24"/>
        </w:rPr>
      </w:pPr>
      <w:r>
        <w:rPr>
          <w:rFonts w:ascii="Times New Roman" w:hAnsi="Times New Roman"/>
          <w:color w:val="ED1C24"/>
          <w:sz w:val="24"/>
          <w:szCs w:val="24"/>
        </w:rPr>
      </w:r>
    </w:p>
    <w:p>
      <w:pPr>
        <w:pStyle w:val="Normal"/>
        <w:spacing w:lineRule="auto" w:line="360"/>
        <w:jc w:val="left"/>
        <w:rPr/>
      </w:pPr>
      <w:r>
        <w:rPr>
          <w:rFonts w:eastAsia="PalatinoLinotype" w:ascii="Times New Roman" w:hAnsi="Times New Roman"/>
          <w:sz w:val="24"/>
          <w:szCs w:val="24"/>
        </w:rPr>
        <w:t>21. DO RECEBIMENTO E ACEITAÇÃO DO OBJETO.</w:t>
      </w:r>
    </w:p>
    <w:p>
      <w:pPr>
        <w:pStyle w:val="Normal"/>
        <w:spacing w:lineRule="auto" w:line="360"/>
        <w:jc w:val="both"/>
        <w:rPr/>
      </w:pPr>
      <w:r>
        <w:rPr>
          <w:rFonts w:ascii="Times New Roman" w:hAnsi="Times New Roman"/>
          <w:sz w:val="24"/>
          <w:szCs w:val="24"/>
        </w:rPr>
        <w:t>21.1 O recebimento provisório ou definitivo do objeto não exclui a responsabilidade da Contratada pelos prejuízos resultantes da incorreta execução do contrato.</w:t>
      </w:r>
    </w:p>
    <w:p>
      <w:pPr>
        <w:pStyle w:val="Normal"/>
        <w:spacing w:lineRule="auto" w:line="360"/>
        <w:jc w:val="both"/>
        <w:rPr/>
      </w:pPr>
      <w:r>
        <w:rPr>
          <w:rFonts w:ascii="Times New Roman" w:hAnsi="Times New Roman"/>
          <w:sz w:val="24"/>
          <w:szCs w:val="24"/>
        </w:rPr>
        <w:t>21.2. O recebimento provisório será realizado pelo fiscal técnico, administrativo e setorial ou pela equipe de fiscalização.</w:t>
      </w:r>
    </w:p>
    <w:p>
      <w:pPr>
        <w:pStyle w:val="Normal"/>
        <w:spacing w:lineRule="auto" w:line="360"/>
        <w:jc w:val="both"/>
        <w:rPr/>
      </w:pPr>
      <w:r>
        <w:rPr>
          <w:rFonts w:ascii="Times New Roman" w:hAnsi="Times New Roman"/>
          <w:sz w:val="24"/>
          <w:szCs w:val="24"/>
        </w:rPr>
        <w:tab/>
        <w:tab/>
        <w:t>21.2.1.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pPr>
        <w:pStyle w:val="Normal"/>
        <w:spacing w:lineRule="auto" w:line="360" w:before="120" w:after="120"/>
        <w:rPr>
          <w:rFonts w:ascii="Times New Roman" w:hAnsi="Times New Roman"/>
          <w:sz w:val="24"/>
          <w:szCs w:val="24"/>
        </w:rPr>
      </w:pPr>
      <w:r>
        <w:rPr>
          <w:rFonts w:ascii="Times New Roman" w:hAnsi="Times New Roman"/>
          <w:sz w:val="24"/>
          <w:szCs w:val="24"/>
        </w:rPr>
        <w:tab/>
        <w:tab/>
        <w:t>21.2.2. Ao final de cada período mensal, o fiscal administrativo deverá verificar a efetiva realização dos dispêndios concernentes aos salários e às obrigações trabalhistas, previdenciárias e com o FGTS do mês anterior.</w:t>
      </w:r>
    </w:p>
    <w:p>
      <w:pPr>
        <w:pStyle w:val="Normal"/>
        <w:spacing w:lineRule="auto" w:line="360" w:before="120" w:after="120"/>
        <w:rPr>
          <w:rFonts w:ascii="Times New Roman" w:hAnsi="Times New Roman"/>
          <w:sz w:val="24"/>
          <w:szCs w:val="24"/>
        </w:rPr>
      </w:pPr>
      <w:r>
        <w:rPr>
          <w:rFonts w:ascii="Times New Roman" w:hAnsi="Times New Roman"/>
          <w:sz w:val="24"/>
          <w:szCs w:val="24"/>
        </w:rPr>
        <w:tab/>
        <w:tab/>
        <w:t>21.2.3. Será elaborado relatório circunstanciado, com registro, análise e conclusão acerca das ocorrências na execução do contrato, o qual será encaminhado ao gestor do contrato para recebimento definitivo.</w:t>
      </w:r>
    </w:p>
    <w:p>
      <w:pPr>
        <w:pStyle w:val="Normal"/>
        <w:spacing w:lineRule="auto" w:line="360" w:before="120" w:after="120"/>
        <w:rPr/>
      </w:pPr>
      <w:r>
        <w:rPr>
          <w:rFonts w:ascii="Times New Roman" w:hAnsi="Times New Roman"/>
          <w:sz w:val="24"/>
          <w:szCs w:val="24"/>
        </w:rPr>
        <w:tab/>
        <w:tab/>
        <w:t>21.2.3.1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pPr>
        <w:pStyle w:val="Normal"/>
        <w:spacing w:lineRule="auto" w:line="360" w:before="120" w:after="120"/>
        <w:rPr/>
      </w:pPr>
      <w:r>
        <w:rPr>
          <w:rFonts w:ascii="Times New Roman" w:hAnsi="Times New Roman"/>
          <w:sz w:val="24"/>
          <w:szCs w:val="24"/>
        </w:rPr>
        <w:t>21.3. O recebimento definitivo, ato que concretiza o ateste da execução dos serviços, será realizado pelo gestor do contrato.</w:t>
      </w:r>
    </w:p>
    <w:p>
      <w:pPr>
        <w:pStyle w:val="Normal"/>
        <w:spacing w:lineRule="auto" w:line="360" w:before="120" w:after="120"/>
        <w:rPr>
          <w:rFonts w:ascii="Times New Roman" w:hAnsi="Times New Roman"/>
          <w:sz w:val="24"/>
          <w:szCs w:val="24"/>
        </w:rPr>
      </w:pPr>
      <w:r>
        <w:rPr>
          <w:rFonts w:ascii="Times New Roman" w:hAnsi="Times New Roman"/>
          <w:sz w:val="24"/>
          <w:szCs w:val="24"/>
        </w:rPr>
        <w:tab/>
        <w:t>21.3.1.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pPr>
        <w:pStyle w:val="Normal"/>
        <w:spacing w:lineRule="auto" w:line="360" w:before="120" w:after="120"/>
        <w:rPr/>
      </w:pPr>
      <w:r>
        <w:rPr>
          <w:rFonts w:ascii="Times New Roman" w:hAnsi="Times New Roman"/>
          <w:sz w:val="24"/>
          <w:szCs w:val="24"/>
        </w:rPr>
        <w:t>21.3.2.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pStyle w:val="Normal"/>
        <w:spacing w:lineRule="auto" w:line="360" w:before="120" w:after="120"/>
        <w:rPr>
          <w:rFonts w:ascii="Times New Roman" w:hAnsi="Times New Roman"/>
          <w:sz w:val="24"/>
          <w:szCs w:val="24"/>
        </w:rPr>
      </w:pPr>
      <w:r>
        <w:rPr>
          <w:rFonts w:ascii="Times New Roman" w:hAnsi="Times New Roman"/>
          <w:sz w:val="24"/>
          <w:szCs w:val="24"/>
        </w:rPr>
      </w:r>
    </w:p>
    <w:p>
      <w:pPr>
        <w:pStyle w:val="Normal"/>
        <w:spacing w:lineRule="auto" w:line="360" w:before="120" w:after="120"/>
        <w:rPr/>
      </w:pPr>
      <w:r>
        <w:rPr>
          <w:rFonts w:ascii="Times New Roman" w:hAnsi="Times New Roman"/>
          <w:b w:val="false"/>
          <w:bCs w:val="false"/>
          <w:sz w:val="24"/>
          <w:szCs w:val="24"/>
        </w:rPr>
        <w:t>22. DAS SANÇÕES ADMINISTRATIVAS</w:t>
      </w:r>
    </w:p>
    <w:p>
      <w:pPr>
        <w:pStyle w:val="Normal"/>
        <w:spacing w:lineRule="auto" w:line="360" w:before="120" w:after="120"/>
        <w:rPr/>
      </w:pPr>
      <w:r>
        <w:rPr>
          <w:rFonts w:ascii="Times New Roman" w:hAnsi="Times New Roman"/>
          <w:sz w:val="24"/>
          <w:szCs w:val="24"/>
        </w:rPr>
        <w:t>22.1. Comete infração administrativa nos termos da Lei nº 10.520, de 2002, a Contratada que:</w:t>
      </w:r>
    </w:p>
    <w:p>
      <w:pPr>
        <w:pStyle w:val="PargrafodaLista1"/>
        <w:spacing w:lineRule="auto" w:line="276" w:before="120" w:after="120"/>
        <w:ind w:left="0" w:right="-30" w:hanging="0"/>
        <w:jc w:val="both"/>
        <w:rPr>
          <w:rFonts w:ascii="Arial" w:hAnsi="Arial" w:cs="Arial"/>
        </w:rPr>
      </w:pPr>
      <w:r>
        <w:rPr>
          <w:rFonts w:cs="Arial" w:ascii="Times New Roman" w:hAnsi="Times New Roman"/>
          <w:sz w:val="24"/>
          <w:szCs w:val="24"/>
        </w:rPr>
        <w:tab/>
        <w:t>22.1.1. inexecutar total ou parcialmente qualquer das obrigações assumidas em decorrência da contratação;</w:t>
      </w:r>
    </w:p>
    <w:p>
      <w:pPr>
        <w:pStyle w:val="PargrafodaLista1"/>
        <w:spacing w:lineRule="auto" w:line="276" w:before="120" w:after="120"/>
        <w:ind w:left="0" w:right="-30" w:hanging="0"/>
        <w:jc w:val="both"/>
        <w:rPr>
          <w:rFonts w:ascii="Arial" w:hAnsi="Arial" w:cs="Arial"/>
        </w:rPr>
      </w:pPr>
      <w:r>
        <w:rPr>
          <w:rFonts w:cs="Arial" w:ascii="Times New Roman" w:hAnsi="Times New Roman"/>
          <w:sz w:val="24"/>
          <w:szCs w:val="24"/>
        </w:rPr>
        <w:tab/>
        <w:t>22.1.2. ensejar o retardamento da execução do objeto;</w:t>
      </w:r>
    </w:p>
    <w:p>
      <w:pPr>
        <w:pStyle w:val="PargrafodaLista1"/>
        <w:spacing w:lineRule="auto" w:line="276" w:before="120" w:after="120"/>
        <w:ind w:left="0" w:right="-30" w:hanging="0"/>
        <w:jc w:val="both"/>
        <w:rPr>
          <w:rFonts w:ascii="Arial" w:hAnsi="Arial" w:cs="Arial"/>
        </w:rPr>
      </w:pPr>
      <w:r>
        <w:rPr>
          <w:rFonts w:cs="Arial" w:ascii="Times New Roman" w:hAnsi="Times New Roman"/>
          <w:sz w:val="24"/>
          <w:szCs w:val="24"/>
        </w:rPr>
        <w:tab/>
        <w:t>22.1.3. falhar ou fraudar na execução do contrato;</w:t>
      </w:r>
    </w:p>
    <w:p>
      <w:pPr>
        <w:pStyle w:val="PargrafodaLista1"/>
        <w:spacing w:lineRule="auto" w:line="276" w:before="120" w:after="120"/>
        <w:ind w:left="0" w:right="-30" w:hanging="0"/>
        <w:jc w:val="both"/>
        <w:rPr>
          <w:rFonts w:ascii="Arial" w:hAnsi="Arial" w:cs="Arial"/>
        </w:rPr>
      </w:pPr>
      <w:r>
        <w:rPr>
          <w:rFonts w:cs="Arial" w:ascii="Times New Roman" w:hAnsi="Times New Roman"/>
          <w:sz w:val="24"/>
          <w:szCs w:val="24"/>
        </w:rPr>
        <w:tab/>
        <w:t>22.1.4. comportar-se de modo inidôneo; ou</w:t>
      </w:r>
    </w:p>
    <w:p>
      <w:pPr>
        <w:pStyle w:val="PargrafodaLista1"/>
        <w:spacing w:lineRule="auto" w:line="276" w:before="120" w:after="120"/>
        <w:ind w:left="0" w:right="-30" w:hanging="0"/>
        <w:jc w:val="both"/>
        <w:rPr>
          <w:rFonts w:ascii="Arial" w:hAnsi="Arial" w:cs="Arial"/>
        </w:rPr>
      </w:pPr>
      <w:r>
        <w:rPr>
          <w:rFonts w:cs="Arial" w:ascii="Times New Roman" w:hAnsi="Times New Roman"/>
          <w:sz w:val="24"/>
          <w:szCs w:val="24"/>
        </w:rPr>
        <w:tab/>
        <w:t>22.1.5. cometer fraude fiscal.</w:t>
      </w:r>
    </w:p>
    <w:p>
      <w:pPr>
        <w:pStyle w:val="Normal"/>
        <w:spacing w:lineRule="auto" w:line="360" w:before="120" w:after="120"/>
        <w:ind w:right="-30" w:hanging="0"/>
        <w:rPr>
          <w:rFonts w:ascii="Times New Roman" w:hAnsi="Times New Roman"/>
          <w:sz w:val="24"/>
          <w:szCs w:val="24"/>
        </w:rPr>
      </w:pPr>
      <w:r>
        <w:rPr>
          <w:rFonts w:ascii="Times New Roman" w:hAnsi="Times New Roman"/>
          <w:sz w:val="24"/>
          <w:szCs w:val="24"/>
        </w:rPr>
        <w:t>22.2. Comete falta grave, podendo ensejar a rescisão unilateral da avença, sem prejuízo da aplicação de sanção pecuniária e do impedimento para licitar e contratar com a União, nos termos do art. 7º da Lei 10.520, de 2002, aquele que:</w:t>
      </w:r>
    </w:p>
    <w:p>
      <w:pPr>
        <w:pStyle w:val="Normal"/>
        <w:spacing w:lineRule="auto" w:line="360" w:before="120" w:after="120"/>
        <w:ind w:right="-30" w:hanging="0"/>
        <w:rPr/>
      </w:pPr>
      <w:r>
        <w:rPr>
          <w:rFonts w:ascii="Times New Roman" w:hAnsi="Times New Roman"/>
          <w:sz w:val="24"/>
          <w:szCs w:val="24"/>
        </w:rPr>
        <w:tab/>
        <w:t>22.2.1. não promover o recolhimento das contribuições relativas ao FGTS e à Previdência Social exigíveis até o momento da apresentação da fatura;</w:t>
      </w:r>
    </w:p>
    <w:p>
      <w:pPr>
        <w:pStyle w:val="Normal"/>
        <w:spacing w:lineRule="auto" w:line="360" w:before="120" w:after="120"/>
        <w:ind w:right="-30" w:hanging="0"/>
        <w:rPr/>
      </w:pPr>
      <w:r>
        <w:rPr>
          <w:rFonts w:ascii="Times New Roman" w:hAnsi="Times New Roman"/>
          <w:sz w:val="24"/>
          <w:szCs w:val="24"/>
        </w:rPr>
        <w:tab/>
        <w:t>22.2.2. deixar de realizar pagamento do salário, do vale-transporte e do auxílio-alimentação no dia fixado.</w:t>
      </w:r>
    </w:p>
    <w:p>
      <w:pPr>
        <w:pStyle w:val="Normal"/>
        <w:spacing w:lineRule="auto" w:line="360" w:before="120" w:after="120"/>
        <w:ind w:right="-30" w:hanging="0"/>
        <w:rPr>
          <w:rFonts w:ascii="Times New Roman" w:hAnsi="Times New Roman"/>
          <w:sz w:val="24"/>
          <w:szCs w:val="24"/>
        </w:rPr>
      </w:pPr>
      <w:r>
        <w:rPr>
          <w:rFonts w:ascii="Times New Roman" w:hAnsi="Times New Roman"/>
          <w:sz w:val="24"/>
          <w:szCs w:val="24"/>
        </w:rPr>
        <w:tab/>
        <w:t xml:space="preserve">22.2.3. Pela inexecução </w:t>
      </w:r>
      <w:r>
        <w:rPr>
          <w:rFonts w:ascii="Times New Roman" w:hAnsi="Times New Roman"/>
          <w:sz w:val="24"/>
          <w:szCs w:val="24"/>
          <w:u w:val="single"/>
        </w:rPr>
        <w:t>total ou parcial</w:t>
      </w:r>
      <w:r>
        <w:rPr>
          <w:rFonts w:ascii="Times New Roman" w:hAnsi="Times New Roman"/>
          <w:sz w:val="24"/>
          <w:szCs w:val="24"/>
        </w:rPr>
        <w:t xml:space="preserve"> do objeto deste contrato, a Administração pode aplicar à Contratada as seguintes sanções:</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 xml:space="preserve">22.2.4. </w:t>
      </w:r>
      <w:r>
        <w:rPr>
          <w:rFonts w:cs="Arial" w:ascii="Times New Roman" w:hAnsi="Times New Roman"/>
          <w:b/>
          <w:bCs/>
          <w:sz w:val="24"/>
          <w:szCs w:val="24"/>
        </w:rPr>
        <w:t>Advertência por escrito</w:t>
      </w:r>
      <w:r>
        <w:rPr>
          <w:rFonts w:cs="Arial" w:ascii="Times New Roman" w:hAnsi="Times New Roman"/>
          <w:sz w:val="24"/>
          <w:szCs w:val="24"/>
        </w:rPr>
        <w:t>, quando do não cumprimento de quaisquer das obrigações contratuais consideradas faltas leves, assim entendidas aquelas que não acarretam prejuízos significativos para o serviço contratado;</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 xml:space="preserve">22.2.5. </w:t>
      </w:r>
      <w:r>
        <w:rPr>
          <w:rFonts w:cs="Arial" w:ascii="Times New Roman" w:hAnsi="Times New Roman"/>
          <w:b/>
          <w:bCs/>
          <w:sz w:val="24"/>
          <w:szCs w:val="24"/>
        </w:rPr>
        <w:t>Multa de</w:t>
      </w:r>
      <w:r>
        <w:rPr>
          <w:rFonts w:cs="Arial" w:ascii="Times New Roman" w:hAnsi="Times New Roman"/>
          <w:sz w:val="24"/>
          <w:szCs w:val="24"/>
        </w:rPr>
        <w:t xml:space="preserve">: </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 xml:space="preserve">22.2.5.1. 0,1% (um décimo por cento) até 0,2% (dois décimos por cento) por dia sobre o valor adjudicado em caso de atraso na execução dos serviços, limitada a </w:t>
      </w:r>
      <w:r>
        <w:rPr>
          <w:rFonts w:cs="Arial" w:ascii="Times New Roman" w:hAnsi="Times New Roman"/>
          <w:color w:val="000000"/>
          <w:sz w:val="24"/>
          <w:szCs w:val="24"/>
        </w:rPr>
        <w:t>incidência a 15 (quinze) dias</w:t>
      </w:r>
      <w:r>
        <w:rPr>
          <w:rFonts w:cs="Arial" w:ascii="Times New Roman" w:hAnsi="Times New Roman"/>
          <w:sz w:val="24"/>
          <w:szCs w:val="24"/>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 xml:space="preserve">22.2.5.2. 0,1% (um décimo por cento) até 10% (dez por cento) sobre o valor adjudicado, em caso de atraso na execução do objeto, por período superior ao previsto no </w:t>
      </w:r>
      <w:r>
        <w:rPr>
          <w:rFonts w:cs="Arial" w:ascii="Times New Roman" w:hAnsi="Times New Roman"/>
          <w:color w:val="000000"/>
          <w:sz w:val="24"/>
          <w:szCs w:val="24"/>
        </w:rPr>
        <w:t>subitem acima,</w:t>
      </w:r>
      <w:r>
        <w:rPr>
          <w:rFonts w:cs="Arial" w:ascii="Times New Roman" w:hAnsi="Times New Roman"/>
          <w:sz w:val="24"/>
          <w:szCs w:val="24"/>
        </w:rPr>
        <w:t xml:space="preserve"> ou de inexecução parcial da obrigação assumida;</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22.2.5.3. 0,1% (um décimo por cento) até 15% (quinze por cento) sobre o valor adjudicado, em caso de inexecução total da obrigação assumida;</w:t>
      </w:r>
    </w:p>
    <w:p>
      <w:pPr>
        <w:pStyle w:val="PargrafodaLista1"/>
        <w:spacing w:lineRule="auto" w:line="360" w:before="120" w:after="120"/>
        <w:ind w:left="0" w:right="-30" w:hanging="0"/>
        <w:jc w:val="both"/>
        <w:rPr/>
      </w:pPr>
      <w:r>
        <w:rPr>
          <w:rFonts w:cs="Arial" w:ascii="Times New Roman" w:hAnsi="Times New Roman"/>
          <w:sz w:val="24"/>
          <w:szCs w:val="24"/>
        </w:rPr>
        <w:tab/>
        <w:t>22.2.5.4. 0,2% a 3,2% por dia sobre o valor mensal do contrato, conforme detalhamento constante das</w:t>
      </w:r>
      <w:r>
        <w:rPr>
          <w:rFonts w:cs="Arial" w:ascii="Times New Roman" w:hAnsi="Times New Roman"/>
          <w:color w:val="ED1C24"/>
          <w:sz w:val="24"/>
          <w:szCs w:val="24"/>
        </w:rPr>
        <w:t xml:space="preserve"> </w:t>
      </w:r>
      <w:r>
        <w:rPr>
          <w:rFonts w:cs="Arial" w:ascii="Times New Roman" w:hAnsi="Times New Roman"/>
          <w:b/>
          <w:bCs/>
          <w:color w:val="ED1C24"/>
          <w:sz w:val="24"/>
          <w:szCs w:val="24"/>
        </w:rPr>
        <w:t>tabelas 17 e 18</w:t>
      </w:r>
      <w:r>
        <w:rPr>
          <w:rFonts w:cs="Arial" w:ascii="Times New Roman" w:hAnsi="Times New Roman"/>
          <w:sz w:val="24"/>
          <w:szCs w:val="24"/>
        </w:rPr>
        <w:t>, abaixo; e</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ab/>
        <w:t>22.2.5.5.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PargrafodaLista1"/>
        <w:spacing w:lineRule="auto" w:line="360" w:before="120" w:after="120"/>
        <w:ind w:left="0" w:right="-30" w:hanging="0"/>
        <w:jc w:val="both"/>
        <w:rPr/>
      </w:pPr>
      <w:r>
        <w:rPr>
          <w:rFonts w:cs="Arial" w:ascii="Times New Roman" w:hAnsi="Times New Roman"/>
          <w:sz w:val="24"/>
          <w:szCs w:val="24"/>
        </w:rPr>
        <w:t>22.3. As penalidades de multa decorrentes de fatos diversos serão consideradas independentes entre si.</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22.4. Suspensão de licitar e impedimento de contratar com o órgão, entidade ou unidade administrativa pela qual a Administração Pública opera e atua concretamente, pelo prazo de até dois anos; Sanção de impedimento de licitar e contratar com órgãos e entidades da União, com o consequente descredenciamento no SICAF pelo prazo de até cinco anos.</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 xml:space="preserve">22.5.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PargrafodaLista1"/>
        <w:spacing w:lineRule="auto" w:line="360" w:before="120" w:after="120"/>
        <w:ind w:left="0" w:right="-30" w:hanging="0"/>
        <w:jc w:val="both"/>
        <w:rPr/>
      </w:pPr>
      <w:r>
        <w:rPr>
          <w:rFonts w:cs="Arial" w:ascii="Times New Roman" w:hAnsi="Times New Roman"/>
          <w:sz w:val="24"/>
          <w:szCs w:val="24"/>
        </w:rPr>
        <w:t>22.6. As sanções previstas nos subitens 22.2.4, 22.4, 22.5 poderão ser aplicadas à Contratada  combinadas as de multa, descontando-a dos pagamentos a serem efetuados.</w:t>
      </w:r>
    </w:p>
    <w:p>
      <w:pPr>
        <w:pStyle w:val="PargrafodaLista1"/>
        <w:spacing w:lineRule="auto" w:line="360" w:before="120" w:after="120"/>
        <w:ind w:left="0" w:right="-30" w:hanging="0"/>
        <w:jc w:val="both"/>
        <w:rPr>
          <w:rFonts w:ascii="Arial" w:hAnsi="Arial" w:cs="Arial"/>
        </w:rPr>
      </w:pPr>
      <w:r>
        <w:rPr>
          <w:rFonts w:cs="Arial" w:ascii="Times New Roman" w:hAnsi="Times New Roman"/>
          <w:sz w:val="24"/>
          <w:szCs w:val="24"/>
        </w:rPr>
        <w:t>22.7. Para efeito de aplicação de multas, às infrações são atribuídos graus, de acordo com as tabelas 1 e 2:</w:t>
      </w:r>
    </w:p>
    <w:p>
      <w:pPr>
        <w:pStyle w:val="Ttulo9"/>
        <w:rPr/>
      </w:pPr>
      <w:r>
        <w:rPr>
          <w:rFonts w:ascii="Times New Roman" w:hAnsi="Times New Roman"/>
          <w:sz w:val="24"/>
          <w:szCs w:val="24"/>
        </w:rPr>
        <w:t>Tabela 17</w:t>
      </w:r>
    </w:p>
    <w:tbl>
      <w:tblPr>
        <w:tblW w:w="8955" w:type="dxa"/>
        <w:jc w:val="left"/>
        <w:tblInd w:w="9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7" w:type="dxa"/>
          <w:bottom w:w="75" w:type="dxa"/>
          <w:right w:w="75" w:type="dxa"/>
        </w:tblCellMar>
        <w:tblLook w:firstRow="0" w:noVBand="0" w:lastRow="0" w:firstColumn="0" w:lastColumn="0" w:noHBand="0" w:val="0000"/>
      </w:tblPr>
      <w:tblGrid>
        <w:gridCol w:w="2924"/>
        <w:gridCol w:w="6030"/>
      </w:tblGrid>
      <w:tr>
        <w:trPr>
          <w:trHeight w:val="180" w:hRule="atLeast"/>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bCs/>
                <w:sz w:val="24"/>
                <w:szCs w:val="24"/>
              </w:rPr>
              <w:t>GRAU</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bCs/>
                <w:sz w:val="24"/>
                <w:szCs w:val="24"/>
              </w:rPr>
              <w:t>CORRESPONDÊNCIA</w:t>
            </w:r>
          </w:p>
        </w:tc>
      </w:tr>
      <w:tr>
        <w:trPr>
          <w:trHeight w:val="488" w:hRule="atLeast"/>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0,2% ao dia sobre o valor mensal do contrato</w:t>
            </w:r>
          </w:p>
        </w:tc>
      </w:tr>
      <w:tr>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2</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0,4% ao dia sobre o valor mensal do contrato</w:t>
            </w:r>
          </w:p>
        </w:tc>
      </w:tr>
      <w:tr>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0,8% ao dia sobre o valor mensal do contrato</w:t>
            </w:r>
          </w:p>
        </w:tc>
      </w:tr>
      <w:tr>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4</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1,6% ao dia sobre o valor mensal do contrato</w:t>
            </w:r>
          </w:p>
        </w:tc>
      </w:tr>
      <w:tr>
        <w:trPr/>
        <w:tc>
          <w:tcPr>
            <w:tcW w:w="292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5</w:t>
            </w:r>
          </w:p>
        </w:tc>
        <w:tc>
          <w:tcPr>
            <w:tcW w:w="603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3,2% ao dia sobre o valor mensal do contrato</w:t>
            </w:r>
          </w:p>
        </w:tc>
      </w:tr>
    </w:tbl>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b/>
          <w:b/>
          <w:bCs/>
          <w:sz w:val="24"/>
          <w:szCs w:val="24"/>
        </w:rPr>
      </w:pPr>
      <w:r>
        <w:rPr>
          <w:rFonts w:ascii="Times New Roman" w:hAnsi="Times New Roman"/>
          <w:b/>
          <w:bCs/>
          <w:sz w:val="24"/>
          <w:szCs w:val="24"/>
        </w:rPr>
      </w:r>
    </w:p>
    <w:p>
      <w:pPr>
        <w:pStyle w:val="Normal"/>
        <w:spacing w:lineRule="auto" w:line="276" w:before="120" w:after="120"/>
        <w:ind w:right="-30" w:hanging="0"/>
        <w:jc w:val="center"/>
        <w:rPr/>
      </w:pPr>
      <w:r>
        <w:rPr>
          <w:rFonts w:ascii="Times New Roman" w:hAnsi="Times New Roman"/>
          <w:b/>
          <w:bCs/>
          <w:sz w:val="24"/>
          <w:szCs w:val="24"/>
        </w:rPr>
        <w:t>Tabela 18</w:t>
      </w:r>
    </w:p>
    <w:tbl>
      <w:tblPr>
        <w:tblW w:w="8850" w:type="dxa"/>
        <w:jc w:val="left"/>
        <w:tblInd w:w="18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7" w:type="dxa"/>
          <w:bottom w:w="75" w:type="dxa"/>
          <w:right w:w="75" w:type="dxa"/>
        </w:tblCellMar>
        <w:tblLook w:firstRow="0" w:noVBand="0" w:lastRow="0" w:firstColumn="0" w:lastColumn="0" w:noHBand="0" w:val="0000"/>
      </w:tblPr>
      <w:tblGrid>
        <w:gridCol w:w="1500"/>
        <w:gridCol w:w="4979"/>
        <w:gridCol w:w="2371"/>
      </w:tblGrid>
      <w:tr>
        <w:trPr>
          <w:trHeight w:val="60" w:hRule="atLeast"/>
        </w:trPr>
        <w:tc>
          <w:tcPr>
            <w:tcW w:w="8850"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INFRAÇÃO</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ITEM</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DESCRIÇÃO</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GRAU</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pPr>
            <w:r>
              <w:rPr>
                <w:rFonts w:ascii="Times New Roman" w:hAnsi="Times New Roman"/>
                <w:sz w:val="24"/>
                <w:szCs w:val="24"/>
              </w:rPr>
              <w:t>Permitir situação que crie a possibilidade de causar dano físico, lesão corporal ou consequências letais, por ocorrência;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05</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2</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Suspender ou interromper, salvo motivo de força maior ou caso fortuito, os serviços contratuais por dia e por unidade de atendimento;</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04</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3</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Manter funcionário sem qualificação para executar os serviços contratados, por empregado e por dia;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4</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Recusar-se a executar serviço determinado pela fiscalização, por serviço e por dia;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5</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Retirar funcionários ou encarregados do serviço durante o expediente, sem a anuência prévia do Contratante, por empregado e por dia;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rHeight w:val="225" w:hRule="atLeast"/>
        </w:trPr>
        <w:tc>
          <w:tcPr>
            <w:tcW w:w="8850"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Para os itens a seguir, deixar de:</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6</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Registrar e controlar, diariamente, a assiduidade e a pontualidade de seu pessoal, por funcionário e por dia;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7</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determinação formal ou instrução complementar do órgão fiscalizador, por ocorrência;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8</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Substituir empregado que se conduza de modo inconveniente ou não atenda às necessidades do serviço, por funcionário e por dia;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9</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quaisquer dos itens do Edital e seus Anexos não previstos nesta tabela de multas, após reincidência formalmente notificada pelo órgão fiscalizador, por item e por ocorrência;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10</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Indicar e manter durante a execução do contrato os prepostos previstos no edital/contrato;</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150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11</w:t>
            </w:r>
          </w:p>
        </w:tc>
        <w:tc>
          <w:tcPr>
            <w:tcW w:w="497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Providenciar treinamento para seus funcionários conforme previsto na relação de obrigações da Contratada</w:t>
            </w:r>
          </w:p>
        </w:tc>
        <w:tc>
          <w:tcPr>
            <w:tcW w:w="237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bl>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b/>
          <w:b/>
          <w:bCs/>
          <w:color w:val="00000A"/>
          <w:sz w:val="24"/>
          <w:szCs w:val="24"/>
        </w:rPr>
      </w:pPr>
      <w:r>
        <w:rPr>
          <w:rFonts w:ascii="Times New Roman" w:hAnsi="Times New Roman"/>
          <w:b/>
          <w:bCs/>
          <w:color w:val="00000A"/>
          <w:sz w:val="24"/>
          <w:szCs w:val="24"/>
        </w:rPr>
      </w:r>
    </w:p>
    <w:p>
      <w:pPr>
        <w:pStyle w:val="Normal"/>
        <w:spacing w:lineRule="auto" w:line="360" w:before="120" w:after="120"/>
        <w:rPr>
          <w:rFonts w:ascii="Times New Roman" w:hAnsi="Times New Roman"/>
          <w:sz w:val="24"/>
          <w:szCs w:val="24"/>
        </w:rPr>
      </w:pPr>
      <w:r>
        <w:rPr>
          <w:rFonts w:ascii="Times New Roman" w:hAnsi="Times New Roman"/>
          <w:sz w:val="24"/>
          <w:szCs w:val="24"/>
        </w:rPr>
        <w:t>22.8. Também ficam sujeitas às penalidades do art. 87, III e IV da Lei nº 8.666, de 1993, as empresas ou profissionais que:</w:t>
      </w:r>
    </w:p>
    <w:p>
      <w:pPr>
        <w:pStyle w:val="Normal"/>
        <w:widowControl/>
        <w:bidi w:val="0"/>
        <w:spacing w:lineRule="auto" w:line="360" w:before="120" w:after="120"/>
        <w:ind w:left="567" w:right="0" w:hanging="0"/>
        <w:jc w:val="both"/>
        <w:rPr/>
      </w:pPr>
      <w:r>
        <w:rPr>
          <w:rFonts w:ascii="Times New Roman" w:hAnsi="Times New Roman"/>
          <w:sz w:val="24"/>
          <w:szCs w:val="24"/>
        </w:rPr>
        <w:t>22.8.1. Tenham sofrido condenação definitiva por praticar, por meio dolosos, fraude fiscal no recolhimento de quaisquer tributos;</w:t>
      </w:r>
    </w:p>
    <w:p>
      <w:pPr>
        <w:pStyle w:val="Normal"/>
        <w:widowControl/>
        <w:bidi w:val="0"/>
        <w:spacing w:lineRule="auto" w:line="360" w:before="120" w:after="120"/>
        <w:ind w:left="567" w:right="0" w:hanging="0"/>
        <w:jc w:val="both"/>
        <w:rPr/>
      </w:pPr>
      <w:r>
        <w:rPr>
          <w:rFonts w:ascii="Times New Roman" w:hAnsi="Times New Roman"/>
          <w:sz w:val="24"/>
          <w:szCs w:val="24"/>
        </w:rPr>
        <w:t>22.8.2. Tenham praticado atos ilícitos visando a frustrar os objetivos da licitação;</w:t>
      </w:r>
    </w:p>
    <w:p>
      <w:pPr>
        <w:pStyle w:val="Normal"/>
        <w:widowControl/>
        <w:bidi w:val="0"/>
        <w:spacing w:lineRule="auto" w:line="360" w:before="120" w:after="120"/>
        <w:ind w:left="567" w:right="0" w:hanging="0"/>
        <w:jc w:val="both"/>
        <w:rPr/>
      </w:pPr>
      <w:r>
        <w:rPr>
          <w:rFonts w:ascii="Times New Roman" w:hAnsi="Times New Roman"/>
          <w:sz w:val="24"/>
          <w:szCs w:val="24"/>
        </w:rPr>
        <w:t xml:space="preserve">22.8.3. Demonstrem não possuir idoneidade para contratar com a Administração em virtude de atos ilícitos praticados. </w:t>
      </w:r>
    </w:p>
    <w:p>
      <w:pPr>
        <w:pStyle w:val="Normal"/>
        <w:spacing w:lineRule="auto" w:line="360" w:before="120" w:after="120"/>
        <w:ind w:right="-30" w:hanging="0"/>
        <w:rPr>
          <w:rFonts w:ascii="Times New Roman" w:hAnsi="Times New Roman"/>
          <w:sz w:val="24"/>
          <w:szCs w:val="24"/>
        </w:rPr>
      </w:pPr>
      <w:r>
        <w:rPr>
          <w:rFonts w:ascii="Times New Roman" w:hAnsi="Times New Roman"/>
          <w:sz w:val="24"/>
          <w:szCs w:val="24"/>
        </w:rPr>
        <w:t>22.9. 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spacing w:lineRule="auto" w:line="360" w:before="120" w:after="120"/>
        <w:ind w:right="-30" w:hanging="0"/>
        <w:rPr>
          <w:rFonts w:ascii="Times New Roman" w:hAnsi="Times New Roman"/>
          <w:sz w:val="24"/>
          <w:szCs w:val="24"/>
        </w:rPr>
      </w:pPr>
      <w:r>
        <w:rPr>
          <w:rFonts w:ascii="Times New Roman" w:hAnsi="Times New Roman"/>
          <w:sz w:val="24"/>
          <w:szCs w:val="24"/>
        </w:rPr>
        <w:t>22.10. A autoridade competente, na aplicação das sanções, levará em consideração a gravidade da conduta do infrator, o caráter educativo da pena, bem como o dano causado à Administração, observado o princípio da proporcionalidade.</w:t>
      </w:r>
    </w:p>
    <w:p>
      <w:pPr>
        <w:pStyle w:val="Normal"/>
        <w:spacing w:lineRule="auto" w:line="360" w:before="120" w:after="120"/>
        <w:ind w:right="-30" w:hanging="0"/>
        <w:rPr/>
      </w:pPr>
      <w:r>
        <w:rPr>
          <w:rFonts w:ascii="Times New Roman" w:hAnsi="Times New Roman"/>
          <w:sz w:val="24"/>
          <w:szCs w:val="24"/>
        </w:rPr>
        <w:t>22.11. As penalidades serão obrigatoriamente registradas no SICAF.</w:t>
      </w:r>
    </w:p>
    <w:p>
      <w:pPr>
        <w:pStyle w:val="Normal"/>
        <w:spacing w:lineRule="auto" w:line="360" w:before="120" w:after="120"/>
        <w:ind w:right="-30" w:hanging="0"/>
        <w:rPr>
          <w:rFonts w:ascii="Times New Roman" w:hAnsi="Times New Roman"/>
          <w:sz w:val="24"/>
          <w:szCs w:val="24"/>
        </w:rPr>
      </w:pPr>
      <w:r>
        <w:rPr>
          <w:rFonts w:ascii="Times New Roman" w:hAnsi="Times New Roman"/>
          <w:sz w:val="24"/>
          <w:szCs w:val="24"/>
        </w:rPr>
        <w:t>22.12 Os serviços prestados pela Contratada e os materiais fornecidos serão avaliados por meio de 6 (Seis) indicadores de qualidade, que são:</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22.12.1 Prazo de atendimento de demandas (OS);</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22.12.2 Empregado sem uniforme, identificação, equipamento, máquina ou utensílio de uso obrigatório;</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22.12.3 Não cumprimento de obrigações relativas ao serviço após reiterada solicitação para fazê-lo;</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22.12.4 Ausência de material de consumo obrigatoriamente a ser fornecido pela Contratada;</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22.12.5 Ausência de empregado da Contratada sem a devida reposição; e</w:t>
      </w:r>
    </w:p>
    <w:p>
      <w:pPr>
        <w:pStyle w:val="Normal"/>
        <w:widowControl/>
        <w:bidi w:val="0"/>
        <w:spacing w:lineRule="auto" w:line="360" w:before="120" w:after="120"/>
        <w:ind w:left="680" w:right="-57" w:hanging="0"/>
        <w:jc w:val="both"/>
        <w:rPr>
          <w:rFonts w:ascii="Times New Roman" w:hAnsi="Times New Roman"/>
          <w:sz w:val="24"/>
          <w:szCs w:val="24"/>
        </w:rPr>
      </w:pPr>
      <w:r>
        <w:rPr>
          <w:rFonts w:ascii="Times New Roman" w:hAnsi="Times New Roman"/>
          <w:sz w:val="24"/>
          <w:szCs w:val="24"/>
        </w:rPr>
        <w:t xml:space="preserve">22.12.6 Conduta perigosa de empregados da Contratada que ponha em risco a segurança de terceiros. </w:t>
      </w:r>
    </w:p>
    <w:p>
      <w:pPr>
        <w:pStyle w:val="Normal"/>
        <w:tabs>
          <w:tab w:val="left" w:pos="0" w:leader="none"/>
          <w:tab w:val="left" w:pos="3168" w:leader="none"/>
          <w:tab w:val="left" w:pos="3888" w:leader="none"/>
          <w:tab w:val="left" w:pos="4608" w:leader="none"/>
          <w:tab w:val="left" w:pos="5328" w:leader="none"/>
          <w:tab w:val="left" w:pos="6048" w:leader="none"/>
          <w:tab w:val="left" w:pos="6768" w:leader="none"/>
        </w:tabs>
        <w:spacing w:lineRule="auto" w:line="36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22.13 Aos indicadores serão atribuídos pontos de avaliação que representará o atendimento aos quesitos do contrato por parte da Contratada.</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rPr>
          <w:rFonts w:ascii="Times New Roman" w:hAnsi="Times New Roman"/>
          <w:sz w:val="24"/>
          <w:szCs w:val="24"/>
        </w:rPr>
      </w:pPr>
      <w:r>
        <w:rPr>
          <w:rFonts w:ascii="Times New Roman" w:hAnsi="Times New Roman"/>
          <w:sz w:val="24"/>
          <w:szCs w:val="24"/>
        </w:rPr>
        <w:t>2.14 A pontuação final dos serviços pode resultar em valores de 0 (zero) e 100 (cem), correspondentes respectivamente às situações de serviço atendido ou não com qualidade e em conformidade com o acordado com a fiscalização do contrato.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rPr/>
      </w:pPr>
      <w:r>
        <w:rPr>
          <w:rFonts w:ascii="Times New Roman" w:hAnsi="Times New Roman"/>
          <w:sz w:val="24"/>
          <w:szCs w:val="24"/>
        </w:rPr>
        <w:t>22.15 As tabelas a seguir apresentam os indicadores, as metas, os critérios e os mecanismos de cálculo estabelecidos para o contrato.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rPr>
          <w:rFonts w:ascii="Times New Roman" w:hAnsi="Times New Roman"/>
          <w:sz w:val="24"/>
          <w:szCs w:val="24"/>
        </w:rPr>
      </w:pPr>
      <w:r>
        <w:rPr>
          <w:rFonts w:ascii="Times New Roman" w:hAnsi="Times New Roman"/>
          <w:sz w:val="24"/>
          <w:szCs w:val="24"/>
        </w:rPr>
      </w:r>
    </w:p>
    <w:tbl>
      <w:tblPr>
        <w:tblW w:w="913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194"/>
        <w:gridCol w:w="4940"/>
      </w:tblGrid>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01: </w:t>
            </w:r>
            <w:r>
              <w:rPr>
                <w:rFonts w:cs="Times New Roman" w:ascii="Times New Roman" w:hAnsi="Times New Roman"/>
                <w:sz w:val="24"/>
                <w:szCs w:val="24"/>
              </w:rPr>
              <w:t>Prazo de atendimento de demandas (OS).</w:t>
            </w:r>
            <w:r>
              <w:rPr>
                <w:rFonts w:cs="Times New Roman" w:ascii="Times New Roman" w:hAnsi="Times New Roman"/>
                <w:b/>
                <w:bCs/>
                <w:sz w:val="24"/>
                <w:szCs w:val="24"/>
              </w:rPr>
              <w:t xml:space="preserve"> </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tulo7"/>
              <w:rPr>
                <w:rFonts w:cs="Times New Roman"/>
              </w:rPr>
            </w:pPr>
            <w:r>
              <w:rPr>
                <w:rFonts w:cs="Times New Roman"/>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Demandas atendidas em até 24h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Solicitação de serviços – Ordem de Serviço (OS) emitidas por e-mail corporativo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Cada OS será verificada e valorada individualmente. Nº ocorrências (OS) registradas com tempo de resposta superior à meta (24h)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02</w:t>
            </w:r>
            <w:r>
              <w:rPr>
                <w:rFonts w:cs="Times New Roman" w:ascii="Times New Roman" w:hAnsi="Times New Roman"/>
                <w:sz w:val="24"/>
                <w:szCs w:val="24"/>
              </w:rPr>
              <w:t>: Empregado sem uniforme, identificação, equipamento, máquina ou utensílio de uso obrigatório.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seguro no ambiente da empresa, sem riscos e acidentes de trabalho.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Diariamente</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Notificação pelas áreas internas por meio de e-mail ou reclamações dirigidas ao Fiscal do Contrato.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Mensal</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notificação ou reclamação registrada junto à Gerência da Unidade. Nº de notificações e reclamações no mês.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 ocorrências = 18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3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5 ocorrências = 12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7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10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10 ocorrências = 0 ponto.</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03 N</w:t>
            </w:r>
            <w:r>
              <w:rPr>
                <w:rFonts w:ascii="Times New Roman" w:hAnsi="Times New Roman"/>
                <w:sz w:val="24"/>
                <w:szCs w:val="24"/>
              </w:rPr>
              <w:t>ão cumprimento de obrigações relativas ao serviço após reiterada solicitação para fazê-lo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o atendimento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Demandas atendidas dentro do prazo acordado</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Solicitação de serviços - Ordem de Serviço (OS) emitidas por e-mail corporativo não atendida dentro do prazo acordado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OS será verificada e valorada individualmente por seus respectivos prazos acordados com o Fiscal de Contrato e a Supervisão da Contratada.</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7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04</w:t>
            </w:r>
            <w:r>
              <w:rPr>
                <w:rFonts w:ascii="Times New Roman" w:hAnsi="Times New Roman"/>
                <w:sz w:val="24"/>
                <w:szCs w:val="24"/>
              </w:rPr>
              <w:t xml:space="preserve"> Ausência de material de consumo obrigatoriamente a ser fornecido pela Contratada</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o atendimento às demandas do órgão com qualidade e sem riscos de desabastecimento de material necessários à execução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Mensal</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Sistema de planilhas de controle de estoque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por meio de registro das ocorrências.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de falta de material em estoque</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 ocorrências = 18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3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5 ocorrências = 12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7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10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10 ocorrências = 0 ponto</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Ver faixas de ajuste de pagamento item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05 </w:t>
            </w:r>
            <w:r>
              <w:rPr>
                <w:rFonts w:cs="Times New Roman" w:ascii="Times New Roman" w:hAnsi="Times New Roman"/>
                <w:sz w:val="24"/>
                <w:szCs w:val="24"/>
              </w:rPr>
              <w:t>A</w:t>
            </w:r>
            <w:r>
              <w:rPr>
                <w:rFonts w:ascii="Times New Roman" w:hAnsi="Times New Roman"/>
                <w:sz w:val="24"/>
                <w:szCs w:val="24"/>
              </w:rPr>
              <w:t>usência de empregado da Contratada sem a devida reposição.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e dentro das cláusulas avençadas no contrato sem queda em sua qualidade.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Registro de ausência de emprego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da falta de empregado sem reposição</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 xml:space="preserve">Uma ou mais ocorrências = 0 ponto. </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06 </w:t>
            </w:r>
            <w:r>
              <w:rPr>
                <w:rFonts w:cs="Times New Roman" w:ascii="Times New Roman" w:hAnsi="Times New Roman"/>
                <w:sz w:val="24"/>
                <w:szCs w:val="24"/>
              </w:rPr>
              <w:t>C</w:t>
            </w:r>
            <w:r>
              <w:rPr>
                <w:rFonts w:ascii="Times New Roman" w:hAnsi="Times New Roman"/>
                <w:sz w:val="24"/>
                <w:szCs w:val="24"/>
              </w:rPr>
              <w:t>onduta perigosa de empregados da Contratada que ponha em risco a segurança de terceiros</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Garantir um atendimento dentro das normas vigentes de segurança do trabalho e cláusulas contratuais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de ocorrências e constatação pelo Fiscal</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Diária, com aferição 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Nº de registro e reclamações recebidas pelo Fiscal do contrato e sua constatação.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426"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bl>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tabs>
          <w:tab w:val="left" w:pos="0" w:leader="none"/>
        </w:tabs>
        <w:spacing w:lineRule="auto" w:line="360"/>
        <w:rPr/>
      </w:pPr>
      <w:r>
        <w:rPr>
          <w:rFonts w:ascii="Times New Roman" w:hAnsi="Times New Roman"/>
          <w:sz w:val="24"/>
          <w:szCs w:val="24"/>
        </w:rPr>
        <w:t>22.16. Faixas para o ajuste de pagamento</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22.16.1. As pontuações aplicadas devem ser totalizadas para o mês de referência, conforme métodos apresentados nas tabelas de indicadores acima.</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 xml:space="preserve">22.16.2. A soma das pontuações obtidas para cada indicador resultará em uma pontuação final no intervalo de 0 a 100 pontos, conforme fórmula a seguir: </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22.16.2.1 Pontuação total do contrato = Pontos (Indicador nº 1) + Pontos (Indicador nº 2) + Pontos (Indicador nº 3) + Pontos (Indicador nº 4) + Pontos (Indicador nº 5) + Pontos (Indicador nº 6).</w:t>
      </w:r>
    </w:p>
    <w:p>
      <w:pPr>
        <w:pStyle w:val="Normal"/>
        <w:tabs>
          <w:tab w:val="left" w:pos="0" w:leader="none"/>
        </w:tabs>
        <w:spacing w:lineRule="auto" w:line="360"/>
        <w:rPr/>
      </w:pPr>
      <w:r>
        <w:rPr>
          <w:rFonts w:ascii="Times New Roman" w:hAnsi="Times New Roman"/>
          <w:sz w:val="24"/>
          <w:szCs w:val="24"/>
        </w:rPr>
        <w:t>22.17. Os pagamentos a serem realizados no contrato, relativos a cada mês de referência, devem ser ajustados pela pontuação total do contrato, conforme tabela e fórmula a seguir:</w:t>
      </w:r>
    </w:p>
    <w:tbl>
      <w:tblPr>
        <w:tblW w:w="934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3115"/>
        <w:gridCol w:w="3115"/>
        <w:gridCol w:w="3115"/>
      </w:tblGrid>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pPr>
            <w:r>
              <w:rPr>
                <w:rFonts w:ascii="Times New Roman" w:hAnsi="Times New Roman"/>
                <w:sz w:val="24"/>
                <w:szCs w:val="24"/>
              </w:rPr>
              <w:t>Faixas de pontuação de ajuste</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Pagamento devido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Fator de ajuste a ser aplicado ao contrato</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 80 a 100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100%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1,00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 70 a 79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97%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0,97</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 60 a 69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95%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0,95</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 50 a 59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93%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0,93</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De 40 a 49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90%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0,90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Abaixo de 40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90% do valor previsto mais multa</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0,90 + avaliar necessidade de aplicação de multa contratual</w:t>
            </w:r>
          </w:p>
        </w:tc>
      </w:tr>
    </w:tbl>
    <w:p>
      <w:pPr>
        <w:pStyle w:val="Normal"/>
        <w:tabs>
          <w:tab w:val="left" w:pos="0" w:leader="none"/>
        </w:tabs>
        <w:rPr>
          <w:rFonts w:ascii="Times New Roman" w:hAnsi="Times New Roman"/>
          <w:sz w:val="24"/>
          <w:szCs w:val="24"/>
        </w:rPr>
      </w:pPr>
      <w:r>
        <w:rPr>
          <w:rFonts w:ascii="Times New Roman" w:hAnsi="Times New Roman"/>
          <w:sz w:val="24"/>
          <w:szCs w:val="24"/>
        </w:rPr>
      </w:r>
    </w:p>
    <w:p>
      <w:pPr>
        <w:pStyle w:val="Normal"/>
        <w:tabs>
          <w:tab w:val="left" w:pos="0" w:leader="none"/>
        </w:tabs>
        <w:spacing w:lineRule="auto" w:line="360"/>
        <w:rPr>
          <w:rFonts w:ascii="Times New Roman" w:hAnsi="Times New Roman"/>
          <w:sz w:val="24"/>
          <w:szCs w:val="24"/>
        </w:rPr>
      </w:pPr>
      <w:r>
        <w:rPr>
          <w:rFonts w:ascii="Times New Roman" w:hAnsi="Times New Roman"/>
          <w:sz w:val="24"/>
          <w:szCs w:val="24"/>
        </w:rPr>
        <w:t>22.17.1 Valor devido após ajuste = {(Valor mensal previsto) X (Fator de ajuste a ser aplicado ao contrato)}.</w:t>
      </w:r>
    </w:p>
    <w:p>
      <w:pPr>
        <w:pStyle w:val="Normal"/>
        <w:tabs>
          <w:tab w:val="left" w:pos="0" w:leader="none"/>
        </w:tabs>
        <w:spacing w:lineRule="auto" w:line="360"/>
        <w:rPr/>
      </w:pPr>
      <w:r>
        <w:rPr>
          <w:rFonts w:ascii="Times New Roman" w:hAnsi="Times New Roman"/>
          <w:sz w:val="24"/>
          <w:szCs w:val="24"/>
        </w:rPr>
        <w:t>22.17.2. A avaliação ABAIXO de 40 pontos por até três vezes, no período de 12 meses, ensejará a rescisão do contrato.</w:t>
      </w:r>
    </w:p>
    <w:p>
      <w:pPr>
        <w:pStyle w:val="Normal"/>
        <w:tabs>
          <w:tab w:val="left" w:pos="0" w:leader="none"/>
        </w:tabs>
        <w:spacing w:lineRule="auto" w:line="360"/>
        <w:rPr>
          <w:rFonts w:ascii="Times New Roman" w:hAnsi="Times New Roman"/>
          <w:sz w:val="24"/>
          <w:szCs w:val="24"/>
        </w:rPr>
      </w:pPr>
      <w:r>
        <w:rPr>
          <w:rFonts w:ascii="Times New Roman" w:hAnsi="Times New Roman"/>
          <w:sz w:val="24"/>
          <w:szCs w:val="24"/>
        </w:rPr>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rPr>
        <w:t>23. AÇÕES DE RESPONSABILIDADE AMBIENTAL</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23.1. 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 xml:space="preserve">23.2. </w:t>
        <w:tab/>
        <w:t>Os materiais básicos empregados pela Contratada deverão atender à melhor relação entre custos e benefícios, considerando-se os impactos ambientais, positivos e negativos, associados ao produto e o que está definido em plano de manejo e, ainda o previsto abaixo:</w:t>
      </w:r>
    </w:p>
    <w:p>
      <w:pPr>
        <w:pStyle w:val="Normal"/>
        <w:widowControl w:val="false"/>
        <w:tabs>
          <w:tab w:val="left" w:pos="1068" w:leader="none"/>
          <w:tab w:val="left" w:pos="1776" w:leader="none"/>
          <w:tab w:val="left" w:pos="2484" w:leader="none"/>
          <w:tab w:val="left" w:pos="2844"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 w:val="left" w:pos="10272" w:leader="none"/>
          <w:tab w:val="left" w:pos="10980" w:leader="none"/>
          <w:tab w:val="left" w:pos="11688" w:leader="none"/>
        </w:tabs>
        <w:suppressAutoHyphens w:val="true"/>
        <w:spacing w:lineRule="auto" w:line="360" w:before="0" w:after="0"/>
        <w:rPr/>
      </w:pPr>
      <w:r>
        <w:rPr>
          <w:rFonts w:ascii="Times New Roman" w:hAnsi="Times New Roman"/>
          <w:sz w:val="24"/>
          <w:szCs w:val="24"/>
          <w:highlight w:val="white"/>
          <w:shd w:fill="00FFFF" w:val="clear"/>
        </w:rPr>
        <w:tab/>
        <w:t>23.2.1.</w:t>
        <w:tab/>
        <w:t>Sejam constituídos, no todo ou em parte, por material reciclado, atóxico, biodegradável, conforme ABNT NBR – 15448-1 e 15448-2;</w:t>
      </w:r>
    </w:p>
    <w:p>
      <w:pPr>
        <w:pStyle w:val="Normal"/>
        <w:widowControl w:val="false"/>
        <w:tabs>
          <w:tab w:val="left" w:pos="1068" w:leader="none"/>
          <w:tab w:val="left" w:pos="1776" w:leader="none"/>
          <w:tab w:val="left" w:pos="2484" w:leader="none"/>
          <w:tab w:val="left" w:pos="2844"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 w:val="left" w:pos="10272" w:leader="none"/>
          <w:tab w:val="left" w:pos="10980" w:leader="none"/>
          <w:tab w:val="left" w:pos="11688" w:leader="none"/>
        </w:tabs>
        <w:suppressAutoHyphens w:val="true"/>
        <w:spacing w:lineRule="auto" w:line="360" w:before="0" w:after="0"/>
        <w:rPr/>
      </w:pPr>
      <w:r>
        <w:rPr>
          <w:rFonts w:ascii="Times New Roman" w:hAnsi="Times New Roman"/>
          <w:sz w:val="24"/>
          <w:szCs w:val="24"/>
          <w:highlight w:val="white"/>
          <w:shd w:fill="00FFFF" w:val="clear"/>
        </w:rPr>
        <w:tab/>
        <w:t>23.2.2.</w:t>
        <w:tab/>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pPr>
        <w:pStyle w:val="BodyText2"/>
        <w:spacing w:lineRule="auto" w:line="360" w:before="0" w:after="0"/>
        <w:rPr/>
      </w:pPr>
      <w:r>
        <w:rPr>
          <w:rFonts w:ascii="Times New Roman" w:hAnsi="Times New Roman"/>
          <w:sz w:val="24"/>
          <w:szCs w:val="24"/>
          <w:highlight w:val="white"/>
        </w:rPr>
        <w:tab/>
        <w:tab/>
        <w:t>23.2.3. Os materiais devam ser, preferencialmente, acondicionados em embalagem individual adequada, com o menor volume possível, que utilize materiais recicláveis, de forma a garantir a máxima proteção durante o transporte e o armazenamento;</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ab/>
        <w:t>23.2.3. Não contenham substâncias perigosas em concentração acima da recomendada na diretiva RoHS (Restriction of  Certain Hazardous Substances), tais como mercúrio (Hg), chumbo (Pb), cromo hexavalente (Cr(VI)), cádmio (Cd), bifenil-polibromados (PBBs), éteres difenil-polibromados (PBDEs).</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ab/>
        <w:t xml:space="preserve">23.2.4. Priorizar a utilização de materiais que sejam reciclados, reutilizados e biodegradáveis, e que reduzam a necessidade de manutenção; </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ab/>
        <w:t>23.2.5. Deve ser priorizado o emprego de mão-de-obra, materiais, tecnologias e matérias-primas de origem local para execução, conservação e operação.</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ab/>
        <w:t>23.2.6. Use produtos de limpeza e conservação de superfícies e objetos inanimados que obedeçam às classificações e especificações determinadas pela ANVISA;</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ab/>
        <w:t>23.2.7. Adote medidas para evitar o desperdício de água tratada, conforme instituído no Decreto nº 48.138, de 8 de outubro de 2003;</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ab/>
        <w:t>23.2.8. Observe a Resolução CONAMA nº 20, de 7 de dezembro de 1994, quanto aos equipamentos de limpeza que gerem ruído no seu funcionamento;</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ab/>
        <w:t>23.2.9 Forneça aos empregados os equipamentos de segurança que se fizerem necessários, para a execução de serviços;</w:t>
      </w:r>
    </w:p>
    <w:p>
      <w:pPr>
        <w:pStyle w:val="Normal"/>
        <w:widowControl w:val="false"/>
        <w:tabs>
          <w:tab w:val="left" w:pos="-1056" w:leader="none"/>
          <w:tab w:val="left" w:pos="-348" w:leader="none"/>
          <w:tab w:val="left" w:pos="-21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ab/>
        <w:t>23.2.10. Respeite as Normas Brasileiras – NBR publicadas pela Associação Brasileira de Normas Técnicas sobre resíduos sólidos; e</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ab/>
        <w:t>23.2.11. 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highlight w:val="white"/>
        </w:rPr>
      </w:pPr>
      <w:r>
        <w:rPr>
          <w:rFonts w:ascii="Times New Roman" w:hAnsi="Times New Roman"/>
          <w:sz w:val="24"/>
          <w:szCs w:val="24"/>
          <w:highlight w:val="white"/>
          <w:shd w:fill="00FFFF" w:val="clear"/>
        </w:rPr>
        <w:t xml:space="preserve">23.3.  </w:t>
        <w:tab/>
        <w:t>A Contratada deverá retirar, sob orientação da Fiscalização, todos os materiais substituídos durante a realização de serviços, devendo apresentá-los à fiscalização para avaliação de reaproveitamento e/ou recolhimento a depósito indicado pela CODEVASF.</w:t>
      </w:r>
    </w:p>
    <w:p>
      <w:pPr>
        <w:pStyle w:val="Normal"/>
        <w:widowControl w:val="false"/>
        <w:tabs>
          <w:tab w:val="left" w:pos="-1056" w:leader="none"/>
          <w:tab w:val="left" w:pos="-348" w:leader="none"/>
          <w:tab w:val="left" w:pos="0"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23.4. Todas as embalagens, restos de materiais e produtos, sobras de obra e entulhos, incluindo lâmpadas queimadas, cabos, restos de óleos e graxas, deverão ser adequadamente separados, para posterior descarte, em conformidade com a legislação ambiental e sanitária vigentes e plano de manejo.</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before="0" w:after="0"/>
        <w:rPr/>
      </w:pPr>
      <w:r>
        <w:rPr>
          <w:rFonts w:ascii="Times New Roman" w:hAnsi="Times New Roman"/>
          <w:sz w:val="24"/>
          <w:szCs w:val="24"/>
        </w:rPr>
        <w:t>23.5. A Contratada deverá promover capacitação em educação e gestão ambiental, para todos os seus funcionários terceirizados a serviço da CODEVASF.</w:t>
      </w:r>
    </w:p>
    <w:p>
      <w:pPr>
        <w:pStyle w:val="Normal"/>
        <w:tabs>
          <w:tab w:val="left" w:pos="0" w:leader="none"/>
        </w:tabs>
        <w:rPr>
          <w:rFonts w:ascii="Times New Roman" w:hAnsi="Times New Roman"/>
          <w:sz w:val="24"/>
          <w:szCs w:val="24"/>
        </w:rPr>
      </w:pPr>
      <w:r>
        <w:rPr>
          <w:rFonts w:ascii="Times New Roman" w:hAnsi="Times New Roman"/>
          <w:sz w:val="24"/>
          <w:szCs w:val="24"/>
        </w:rPr>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24. SEGURANÇA DO TRABALHO</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24.1. Promover medidas de proteção para a redução ou neutralização dos riscos ocupacionais aos seus empregados, bem como fazer, obrigatoriamente, os Equipamentos de Proteção Individual (EPI’s),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24.2. O Contratado deverá realizar treinamentos com os empregados quanto à forma adequada de utilização dos equipamentos de acordo com as funções exercidas.</w:t>
      </w:r>
    </w:p>
    <w:p>
      <w:pPr>
        <w:pStyle w:val="Normal"/>
        <w:tabs>
          <w:tab w:val="left" w:pos="0" w:leader="none"/>
        </w:tabs>
        <w:rPr>
          <w:rFonts w:ascii="Times New Roman" w:hAnsi="Times New Roman"/>
          <w:sz w:val="24"/>
          <w:szCs w:val="24"/>
        </w:rPr>
      </w:pPr>
      <w:r>
        <w:rPr>
          <w:rFonts w:ascii="Times New Roman" w:hAnsi="Times New Roman"/>
          <w:sz w:val="24"/>
          <w:szCs w:val="24"/>
        </w:rPr>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rPr/>
      </w:pPr>
      <w:r>
        <w:rPr>
          <w:rFonts w:ascii="Times New Roman" w:hAnsi="Times New Roman"/>
          <w:sz w:val="24"/>
          <w:szCs w:val="24"/>
        </w:rPr>
        <w:t xml:space="preserve">25. MEDIDAS ACAUTELADORAS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rPr>
          <w:rFonts w:ascii="Times New Roman" w:hAnsi="Times New Roman"/>
          <w:sz w:val="24"/>
          <w:szCs w:val="24"/>
        </w:rPr>
      </w:pPr>
      <w:r>
        <w:rPr>
          <w:rFonts w:ascii="Times New Roman" w:hAnsi="Times New Roman"/>
          <w:sz w:val="24"/>
          <w:szCs w:val="24"/>
        </w:rPr>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 xml:space="preserve">25.1.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rPr>
          <w:rFonts w:ascii="Times New Roman" w:hAnsi="Times New Roman"/>
          <w:sz w:val="24"/>
          <w:szCs w:val="24"/>
        </w:rPr>
      </w:pPr>
      <w:r>
        <w:rPr>
          <w:rFonts w:ascii="Times New Roman" w:hAnsi="Times New Roman"/>
          <w:sz w:val="24"/>
          <w:szCs w:val="24"/>
        </w:rPr>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rPr/>
      </w:pPr>
      <w:r>
        <w:rPr>
          <w:rFonts w:ascii="Times New Roman" w:hAnsi="Times New Roman"/>
          <w:sz w:val="24"/>
          <w:szCs w:val="24"/>
        </w:rPr>
        <w:t>ANEXO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pPr>
      <w:r>
        <w:rPr>
          <w:rFonts w:ascii="Times New Roman" w:hAnsi="Times New Roman"/>
          <w:sz w:val="24"/>
          <w:szCs w:val="24"/>
        </w:rPr>
        <w:t>Anexo I: Planilha de Custos e Formação de Preços</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tabs>
          <w:tab w:val="left" w:pos="0" w:leader="none"/>
        </w:tabs>
        <w:rPr>
          <w:rFonts w:ascii="Times New Roman" w:hAnsi="Times New Roman"/>
          <w:sz w:val="24"/>
          <w:szCs w:val="24"/>
        </w:rPr>
      </w:pPr>
      <w:r>
        <w:rPr>
          <w:rFonts w:ascii="Times New Roman" w:hAnsi="Times New Roman"/>
          <w:sz w:val="24"/>
          <w:szCs w:val="24"/>
        </w:rPr>
      </w:r>
    </w:p>
    <w:p>
      <w:pPr>
        <w:pStyle w:val="Normal"/>
        <w:tabs>
          <w:tab w:val="left" w:pos="0" w:leader="none"/>
        </w:tabs>
        <w:rPr>
          <w:rFonts w:ascii="Times New Roman" w:hAnsi="Times New Roman"/>
          <w:sz w:val="24"/>
          <w:szCs w:val="24"/>
        </w:rPr>
      </w:pPr>
      <w:r>
        <w:rPr>
          <w:rFonts w:ascii="Times New Roman" w:hAnsi="Times New Roman"/>
          <w:sz w:val="24"/>
          <w:szCs w:val="24"/>
        </w:rPr>
      </w:r>
    </w:p>
    <w:p>
      <w:pPr>
        <w:pStyle w:val="Assinaturas"/>
        <w:tabs>
          <w:tab w:val="left" w:pos="0" w:leader="none"/>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jc w:val="center"/>
        <w:rPr/>
      </w:pPr>
      <w:r>
        <w:rPr>
          <w:rFonts w:cs="Arial"/>
          <w:sz w:val="24"/>
          <w:szCs w:val="24"/>
        </w:rPr>
        <w:t>Teresina, 09 de abril de 2019.</w:t>
      </w:r>
    </w:p>
    <w:p>
      <w:pPr>
        <w:pStyle w:val="Assinaturas"/>
        <w:tabs>
          <w:tab w:val="left" w:pos="0" w:leader="none"/>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jc w:val="both"/>
        <w:rPr>
          <w:rFonts w:ascii="Times New Roman" w:hAnsi="Times New Roman" w:cs="Arial"/>
          <w:sz w:val="24"/>
          <w:szCs w:val="24"/>
        </w:rPr>
      </w:pPr>
      <w:r>
        <w:rPr>
          <w:rFonts w:cs="Arial"/>
          <w:sz w:val="24"/>
          <w:szCs w:val="24"/>
        </w:rPr>
      </w:r>
    </w:p>
    <w:p>
      <w:pPr>
        <w:pStyle w:val="Assinaturas"/>
        <w:tabs>
          <w:tab w:val="left" w:pos="0" w:leader="none"/>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jc w:val="both"/>
        <w:rPr>
          <w:rFonts w:ascii="Times New Roman" w:hAnsi="Times New Roman" w:cs="Arial"/>
          <w:sz w:val="24"/>
          <w:szCs w:val="24"/>
        </w:rPr>
      </w:pPr>
      <w:r>
        <w:rPr>
          <w:rFonts w:cs="Arial"/>
          <w:sz w:val="24"/>
          <w:szCs w:val="24"/>
        </w:rPr>
      </w:r>
      <w:bookmarkStart w:id="2" w:name="_GoBack"/>
      <w:bookmarkStart w:id="3" w:name="_GoBack"/>
      <w:bookmarkEnd w:id="3"/>
    </w:p>
    <w:p>
      <w:pPr>
        <w:pStyle w:val="Assinaturas"/>
        <w:tabs>
          <w:tab w:val="left" w:pos="0" w:leader="none"/>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jc w:val="both"/>
        <w:rPr>
          <w:rFonts w:ascii="Times New Roman" w:hAnsi="Times New Roman" w:cs="Arial"/>
          <w:sz w:val="24"/>
          <w:szCs w:val="24"/>
        </w:rPr>
      </w:pPr>
      <w:r>
        <w:rPr>
          <w:rFonts w:cs="Arial"/>
          <w:sz w:val="24"/>
          <w:szCs w:val="24"/>
        </w:rPr>
      </w:r>
    </w:p>
    <w:p>
      <w:pPr>
        <w:pStyle w:val="Normal"/>
        <w:tabs>
          <w:tab w:val="left" w:pos="0" w:leader="none"/>
        </w:tabs>
        <w:jc w:val="center"/>
        <w:rPr>
          <w:b/>
          <w:b/>
          <w:bCs/>
        </w:rPr>
      </w:pPr>
      <w:r>
        <w:rPr>
          <w:b/>
          <w:bCs/>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b/>
          <w:b/>
          <w:sz w:val="40"/>
          <w:szCs w:val="40"/>
        </w:rPr>
      </w:pPr>
      <w:r>
        <w:rPr>
          <w:rFonts w:ascii="Times New Roman" w:hAnsi="Times New Roman"/>
          <w:b/>
          <w:sz w:val="24"/>
          <w:szCs w:val="24"/>
        </w:rPr>
        <w:t>ANEXO I</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Fonts w:ascii="Times New Roman" w:hAnsi="Times New Roman"/>
          <w:b/>
          <w:sz w:val="24"/>
          <w:szCs w:val="24"/>
        </w:rPr>
        <w:t>Planilhas de Custo e Formação de Preços</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
    </w:p>
    <w:sectPr>
      <w:headerReference w:type="default" r:id="rId4"/>
      <w:footerReference w:type="default" r:id="rId5"/>
      <w:type w:val="nextPage"/>
      <w:pgSz w:w="11906" w:h="16838"/>
      <w:pgMar w:left="1843" w:right="708" w:header="851" w:top="2269" w:footer="907" w:bottom="96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Ecofont_Spranq_eco_Sans">
    <w:charset w:val="00"/>
    <w:family w:val="roman"/>
    <w:pitch w:val="variable"/>
  </w:font>
  <w:font w:name="Segoe UI">
    <w:charset w:val="00"/>
    <w:family w:val="roman"/>
    <w:pitch w:val="variable"/>
  </w:font>
  <w:font w:name="OpenSymbol">
    <w:altName w:val="Arial Unicode MS"/>
    <w:charset w:val="00"/>
    <w:family w:val="roman"/>
    <w:pitch w:val="variable"/>
  </w:font>
  <w:font w:name="Wingdings 2">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roman"/>
    <w:pitch w:val="variable"/>
  </w:font>
  <w:font w:name="Arial Unicode MS">
    <w:charset w:val="00"/>
    <w:family w:val="roman"/>
    <w:pitch w:val="variable"/>
  </w:font>
  <w:font w:name="Calibri-Bold">
    <w:charset w:val="00"/>
    <w:family w:val="roman"/>
    <w:pitch w:val="variable"/>
  </w:font>
  <w:font w:name="Wingdings">
    <w:charset w:val="02"/>
    <w:family w:val="auto"/>
    <w:pitch w:val="variable"/>
  </w:font>
  <w:font w:name="OpenSymbol">
    <w:altName w:val="Arial Unicode MS"/>
    <w:charset w:val="01"/>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fldChar w:fldCharType="begin"/>
    </w:r>
    <w:r>
      <w:rPr/>
      <w:instrText> PAGE </w:instrText>
    </w:r>
    <w:r>
      <w:rPr/>
      <w:fldChar w:fldCharType="separate"/>
    </w:r>
    <w:r>
      <w:rPr/>
      <w:t>50</w:t>
    </w:r>
    <w:r>
      <w:rPr/>
      <w:fldChar w:fldCharType="end"/>
    </w:r>
  </w:p>
  <w:p>
    <w:pPr>
      <w:pStyle w:val="Normal"/>
      <w:jc w:val="left"/>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texto"/>
      <w:rPr/>
    </w:pPr>
    <w:r>
      <mc:AlternateContent>
        <mc:Choice Requires="wps">
          <w:drawing>
            <wp:anchor behindDoc="1" distT="0" distB="0" distL="114300" distR="114300" simplePos="0" locked="0" layoutInCell="1" allowOverlap="1" relativeHeight="51">
              <wp:simplePos x="0" y="0"/>
              <wp:positionH relativeFrom="column">
                <wp:posOffset>1595120</wp:posOffset>
              </wp:positionH>
              <wp:positionV relativeFrom="paragraph">
                <wp:posOffset>-179705</wp:posOffset>
              </wp:positionV>
              <wp:extent cx="4319905" cy="965200"/>
              <wp:effectExtent l="0" t="0" r="0" b="5715"/>
              <wp:wrapTopAndBottom/>
              <wp:docPr id="1" name="Caixa de texto 1"/>
              <a:graphic xmlns:a="http://schemas.openxmlformats.org/drawingml/2006/main">
                <a:graphicData uri="http://schemas.microsoft.com/office/word/2010/wordprocessingShape">
                  <wps:wsp>
                    <wps:cNvSpPr/>
                    <wps:spPr>
                      <a:xfrm>
                        <a:off x="0" y="0"/>
                        <a:ext cx="4319280" cy="964440"/>
                      </a:xfrm>
                      <a:prstGeom prst="rect">
                        <a:avLst/>
                      </a:prstGeom>
                      <a:noFill/>
                      <a:ln>
                        <a:noFill/>
                      </a:ln>
                    </wps:spPr>
                    <wps:style>
                      <a:lnRef idx="0"/>
                      <a:fillRef idx="0"/>
                      <a:effectRef idx="0"/>
                      <a:fontRef idx="minor"/>
                    </wps:style>
                    <wps:txb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___/2019-___</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wps:txbx>
                    <wps:bodyPr>
                      <a:noAutofit/>
                    </wps:bodyPr>
                  </wps:wsp>
                </a:graphicData>
              </a:graphic>
            </wp:anchor>
          </w:drawing>
        </mc:Choice>
        <mc:Fallback>
          <w:pict>
            <v:rect id="shape_0" ID="Caixa de texto 1" stroked="f" style="position:absolute;margin-left:125.6pt;margin-top:-14.15pt;width:340.05pt;height:75.9pt">
              <w10:wrap type="square"/>
              <v:fill o:detectmouseclick="t" on="false"/>
              <v:stroke color="#3465a4" joinstyle="round" endcap="flat"/>
              <v:textbo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___/2019-___</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v:textbox>
            </v:rect>
          </w:pict>
        </mc:Fallback>
      </mc:AlternateContent>
    </w:r>
    <w:r>
      <w:rPr>
        <w:b/>
        <w:bCs/>
        <w:sz w:val="16"/>
        <w:szCs w:val="16"/>
      </w:rPr>
      <w:t xml:space="preserve">                                                                                                                                                             </w:t>
    </w:r>
    <w:r>
      <w:rPr>
        <w:b/>
        <w:bCs/>
        <w:sz w:val="16"/>
        <w:szCs w:val="16"/>
      </w:rPr>
      <w:object>
        <v:shape id="ole_rId1" style="width:129.4pt;height:33pt" o:ole="">
          <v:imagedata r:id="rId2" o:title=""/>
        </v:shape>
        <o:OLEObject Type="Embed" ProgID="Msxml2.SAXXMLReader.5.0" ShapeID="ole_rId1" DrawAspect="Content" ObjectID="_1977108760" r:id="rId1"/>
      </w:object>
    </w:r>
    <w:r>
      <w:rPr>
        <w:b/>
        <w:bCs/>
        <w:sz w:val="16"/>
        <w:szCs w:val="16"/>
      </w:rPr>
      <w:t xml:space="preserve">                                                                                                                                                                                         </w:t>
    </w:r>
  </w:p>
  <w:p>
    <w:pPr>
      <w:pStyle w:val="Normal"/>
      <w:jc w:val="right"/>
      <w:rPr/>
    </w:pPr>
    <w:r>
      <w:rPr>
        <w:b/>
        <w:bCs/>
        <w:color w:val="00000A"/>
        <w:spacing w:val="6"/>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rPr>
        <w:sz w:val="24"/>
        <w:rFonts w:cs="Times New Roman"/>
      </w:rPr>
    </w:lvl>
    <w:lvl w:ilvl="1">
      <w:start w:val="1"/>
      <w:numFmt w:val="decimal"/>
      <w:lvlText w:val="%1.%2."/>
      <w:lvlJc w:val="left"/>
      <w:pPr>
        <w:tabs>
          <w:tab w:val="num" w:pos="792"/>
        </w:tabs>
        <w:ind w:left="792" w:hanging="432"/>
      </w:pPr>
      <w:rPr>
        <w:sz w:val="24"/>
        <w:rFonts w:ascii="Times New Roman" w:hAnsi="Times New Roman" w:cs="Times New Roman"/>
      </w:rPr>
    </w:lvl>
    <w:lvl w:ilvl="2">
      <w:start w:val="1"/>
      <w:numFmt w:val="decimal"/>
      <w:lvlText w:val="%1.%2.%3."/>
      <w:lvlJc w:val="left"/>
      <w:pPr>
        <w:tabs>
          <w:tab w:val="num" w:pos="1440"/>
        </w:tabs>
        <w:ind w:left="1224" w:hanging="504"/>
      </w:pPr>
      <w:rPr>
        <w:sz w:val="24"/>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lvl w:ilvl="0">
      <w:start w:val="1"/>
      <w:numFmt w:val="decimal"/>
      <w:lvlText w:val="%1."/>
      <w:lvlJc w:val="left"/>
      <w:pPr>
        <w:tabs>
          <w:tab w:val="num" w:pos="720"/>
        </w:tabs>
        <w:ind w:left="720" w:hanging="360"/>
      </w:pPr>
      <w:rPr>
        <w:sz w:val="23"/>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7">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lvl w:ilvl="0">
      <w:start w:val="1"/>
      <w:numFmt w:val="lowerLetter"/>
      <w:lvlText w:val="   %1)"/>
      <w:lvlJc w:val="left"/>
      <w:pPr>
        <w:tabs>
          <w:tab w:val="num" w:pos="720"/>
        </w:tabs>
        <w:ind w:left="720" w:hanging="360"/>
      </w:pPr>
      <w:rPr>
        <w:sz w:val="24"/>
        <w:b/>
        <w:szCs w:val="24"/>
        <w:bCs/>
        <w:rFonts w:ascii="Times New Roman" w:hAnsi="Times New Roman" w:eastAsia="Arial" w:cs="Times New Roman"/>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rPr>
        <w:rFonts w:cs="OpenSymbol;Arial Unicode MS"/>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1">
    <w:lvl w:ilvl="0">
      <w:start w:val="1"/>
      <w:numFmt w:val="lowerLetter"/>
      <w:lvlText w:val="   %1)"/>
      <w:lvlJc w:val="left"/>
      <w:pPr>
        <w:tabs>
          <w:tab w:val="num" w:pos="720"/>
        </w:tabs>
        <w:ind w:left="720" w:hanging="360"/>
      </w:pPr>
      <w:rPr>
        <w:sz w:val="24"/>
        <w:b/>
        <w:szCs w:val="24"/>
        <w:bCs/>
        <w:rFonts w:ascii="Times New Roman" w:hAnsi="Times New Roman"/>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2">
    <w:lvl w:ilvl="0">
      <w:start w:val="1"/>
      <w:numFmt w:val="lowerLetter"/>
      <w:lvlText w:val="  %1)"/>
      <w:lvlJc w:val="left"/>
      <w:pPr>
        <w:tabs>
          <w:tab w:val="num" w:pos="720"/>
        </w:tabs>
        <w:ind w:left="720" w:hanging="360"/>
      </w:pPr>
      <w:rPr>
        <w:sz w:val="24"/>
        <w:b/>
        <w:szCs w:val="24"/>
        <w:bCs/>
        <w:rFonts w:ascii="Times New Roman" w:hAnsi="Times New Roman" w:eastAsia="Arial" w:cs="Times New Roman"/>
        <w:color w:val="000000"/>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3">
    <w:lvl w:ilvl="0">
      <w:start w:val="1"/>
      <w:numFmt w:val="lowerLetter"/>
      <w:lvlText w:val="   %1)"/>
      <w:lvlJc w:val="left"/>
      <w:pPr>
        <w:tabs>
          <w:tab w:val="num" w:pos="720"/>
        </w:tabs>
        <w:ind w:left="720" w:hanging="360"/>
      </w:pPr>
      <w:rPr>
        <w:sz w:val="24"/>
        <w:b w:val="false"/>
        <w:szCs w:val="24"/>
        <w:bCs w:val="false"/>
        <w:rFonts w:ascii="Times New Roman" w:hAnsi="Times New Roman" w:eastAsia="Arial" w:cs="Times New Roman"/>
      </w:rPr>
    </w:lvl>
    <w:lvl w:ilvl="1">
      <w:start w:val="1"/>
      <w:numFmt w:val="decimal"/>
      <w:lvlText w:val="   %2)"/>
      <w:lvlJc w:val="left"/>
      <w:pPr>
        <w:tabs>
          <w:tab w:val="num" w:pos="1080"/>
        </w:tabs>
        <w:ind w:left="1080" w:hanging="360"/>
      </w:pPr>
      <w:rPr>
        <w:rFonts w:cs="Courier New"/>
      </w:rPr>
    </w:lvl>
    <w:lvl w:ilvl="2">
      <w:start w:val="1"/>
      <w:numFmt w:val="decimal"/>
      <w:lvlText w:val="   %3)"/>
      <w:lvlJc w:val="left"/>
      <w:pPr>
        <w:tabs>
          <w:tab w:val="num" w:pos="1440"/>
        </w:tabs>
        <w:ind w:left="1440" w:hanging="360"/>
      </w:pPr>
      <w:rPr>
        <w:rFonts w:cs="Wingdings"/>
      </w:rPr>
    </w:lvl>
    <w:lvl w:ilvl="3">
      <w:start w:val="1"/>
      <w:numFmt w:val="decimal"/>
      <w:lvlText w:val="   %4)"/>
      <w:lvlJc w:val="left"/>
      <w:pPr>
        <w:tabs>
          <w:tab w:val="num" w:pos="1800"/>
        </w:tabs>
        <w:ind w:left="1800" w:hanging="360"/>
      </w:pPr>
      <w:rPr>
        <w:rFonts w:cs="Symbol"/>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4">
    <w:lvl w:ilvl="0">
      <w:start w:val="1"/>
      <w:numFmt w:val="lowerLetter"/>
      <w:lvlText w:val="   %1)"/>
      <w:lvlJc w:val="left"/>
      <w:pPr>
        <w:tabs>
          <w:tab w:val="num" w:pos="720"/>
        </w:tabs>
        <w:ind w:left="720" w:hanging="360"/>
      </w:pPr>
      <w:rPr>
        <w:sz w:val="24"/>
        <w:b w:val="false"/>
        <w:szCs w:val="24"/>
        <w:bCs w:val="false"/>
        <w:rFonts w:eastAsia="Arial" w:cs="Times New Roman"/>
        <w:color w:val="000000"/>
      </w:rPr>
    </w:lvl>
    <w:lvl w:ilvl="1">
      <w:start w:val="1"/>
      <w:numFmt w:val="decimal"/>
      <w:lvlText w:val="   %2)"/>
      <w:lvlJc w:val="left"/>
      <w:pPr>
        <w:tabs>
          <w:tab w:val="num" w:pos="1080"/>
        </w:tabs>
        <w:ind w:left="1080" w:hanging="360"/>
      </w:pPr>
      <w:rPr>
        <w:rFonts w:cs="Courier New"/>
      </w:rPr>
    </w:lvl>
    <w:lvl w:ilvl="2">
      <w:start w:val="1"/>
      <w:numFmt w:val="decimal"/>
      <w:lvlText w:val="   %3)"/>
      <w:lvlJc w:val="left"/>
      <w:pPr>
        <w:tabs>
          <w:tab w:val="num" w:pos="1440"/>
        </w:tabs>
        <w:ind w:left="1440" w:hanging="360"/>
      </w:pPr>
      <w:rPr>
        <w:rFonts w:cs="Wingdings"/>
      </w:rPr>
    </w:lvl>
    <w:lvl w:ilvl="3">
      <w:start w:val="1"/>
      <w:numFmt w:val="decimal"/>
      <w:lvlText w:val="   %4)"/>
      <w:lvlJc w:val="left"/>
      <w:pPr>
        <w:tabs>
          <w:tab w:val="num" w:pos="1800"/>
        </w:tabs>
        <w:ind w:left="1800" w:hanging="360"/>
      </w:pPr>
      <w:rPr>
        <w:rFonts w:cs="Symbol"/>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lvl w:ilvl="0">
      <w:start w:val="1"/>
      <w:numFmt w:val="bullet"/>
      <w:lvlText w:val=""/>
      <w:lvlJc w:val="left"/>
      <w:pPr>
        <w:ind w:left="1440" w:hanging="360"/>
      </w:pPr>
      <w:rPr>
        <w:rFonts w:ascii="Wingdings" w:hAnsi="Wingdings" w:cs="Wingdings" w:hint="default"/>
        <w:sz w:val="24"/>
        <w:rFonts w:cs="Wingdings"/>
      </w:rPr>
    </w:lvl>
    <w:lvl w:ilvl="1">
      <w:start w:val="1"/>
      <w:numFmt w:val="bullet"/>
      <w:lvlText w:val="o"/>
      <w:lvlJc w:val="left"/>
      <w:pPr>
        <w:ind w:left="2160" w:hanging="360"/>
      </w:pPr>
      <w:rPr>
        <w:rFonts w:ascii="Courier New" w:hAnsi="Courier New" w:cs="Courier New" w:hint="default"/>
        <w:rFonts w:cs="Times New Roman"/>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Times New Roman"/>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Times New Roman"/>
      </w:rPr>
    </w:lvl>
    <w:lvl w:ilvl="8">
      <w:start w:val="1"/>
      <w:numFmt w:val="bullet"/>
      <w:lvlText w:val=""/>
      <w:lvlJc w:val="left"/>
      <w:pPr>
        <w:ind w:left="7200" w:hanging="360"/>
      </w:pPr>
      <w:rPr>
        <w:rFonts w:ascii="Wingdings" w:hAnsi="Wingdings" w:cs="Wingdings" w:hint="default"/>
        <w:rFonts w:cs="Wingdings"/>
      </w:rPr>
    </w:lvl>
  </w:abstractNum>
  <w:abstractNum w:abstractNumId="1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embedSystemFonts/>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t-BR" w:eastAsia="pt-BR"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both"/>
    </w:pPr>
    <w:rPr>
      <w:rFonts w:ascii="Arial" w:hAnsi="Arial" w:eastAsia="" w:cs="Arial"/>
      <w:color w:val="000000"/>
      <w:kern w:val="0"/>
      <w:sz w:val="24"/>
      <w:szCs w:val="24"/>
      <w:lang w:val="pt-BR" w:eastAsia="pt-BR" w:bidi="ar-SA"/>
    </w:rPr>
  </w:style>
  <w:style w:type="paragraph" w:styleId="Ttulo1">
    <w:name w:val="Heading 1"/>
    <w:basedOn w:val="Normal"/>
    <w:link w:val="Ttulo1Char"/>
    <w:uiPriority w:val="99"/>
    <w:qFormat/>
    <w:pPr>
      <w:spacing w:before="480" w:after="0"/>
      <w:outlineLvl w:val="0"/>
    </w:pPr>
    <w:rPr>
      <w:b/>
      <w:bCs/>
      <w:color w:val="00000A"/>
      <w:sz w:val="32"/>
      <w:szCs w:val="32"/>
    </w:rPr>
  </w:style>
  <w:style w:type="paragraph" w:styleId="Ttulo2">
    <w:name w:val="Heading 2"/>
    <w:basedOn w:val="Normal"/>
    <w:link w:val="Ttulo2Char"/>
    <w:uiPriority w:val="99"/>
    <w:qFormat/>
    <w:pPr>
      <w:spacing w:before="200" w:after="0"/>
      <w:outlineLvl w:val="1"/>
    </w:pPr>
    <w:rPr>
      <w:b/>
      <w:bCs/>
      <w:color w:val="00000A"/>
      <w:sz w:val="26"/>
      <w:szCs w:val="26"/>
    </w:rPr>
  </w:style>
  <w:style w:type="paragraph" w:styleId="Ttulo3">
    <w:name w:val="Heading 3"/>
    <w:basedOn w:val="Normal"/>
    <w:link w:val="Ttulo3Char"/>
    <w:uiPriority w:val="99"/>
    <w:qFormat/>
    <w:pPr>
      <w:spacing w:before="200" w:after="0"/>
      <w:outlineLvl w:val="2"/>
    </w:pPr>
    <w:rPr>
      <w:b/>
      <w:bCs/>
      <w:color w:val="00000A"/>
    </w:rPr>
  </w:style>
  <w:style w:type="paragraph" w:styleId="Ttulo4">
    <w:name w:val="Heading 4"/>
    <w:basedOn w:val="Normal"/>
    <w:next w:val="Normal"/>
    <w:link w:val="Ttulo4Char"/>
    <w:uiPriority w:val="99"/>
    <w:qFormat/>
    <w:pPr>
      <w:keepNext w:val="true"/>
      <w:keepLines/>
      <w:spacing w:before="240" w:after="40"/>
      <w:outlineLvl w:val="3"/>
    </w:pPr>
    <w:rPr>
      <w:b/>
      <w:bCs/>
    </w:rPr>
  </w:style>
  <w:style w:type="paragraph" w:styleId="Ttulo5">
    <w:name w:val="Heading 5"/>
    <w:basedOn w:val="Normal"/>
    <w:next w:val="Normal"/>
    <w:link w:val="Ttulo5Char"/>
    <w:uiPriority w:val="99"/>
    <w:qFormat/>
    <w:pPr>
      <w:keepNext w:val="true"/>
      <w:keepLines/>
      <w:spacing w:before="220" w:after="40"/>
      <w:outlineLvl w:val="4"/>
    </w:pPr>
    <w:rPr>
      <w:b/>
      <w:bCs/>
      <w:sz w:val="22"/>
      <w:szCs w:val="22"/>
    </w:rPr>
  </w:style>
  <w:style w:type="paragraph" w:styleId="Ttulo6">
    <w:name w:val="Heading 6"/>
    <w:basedOn w:val="Normal"/>
    <w:next w:val="Normal"/>
    <w:link w:val="Ttulo6Char"/>
    <w:uiPriority w:val="99"/>
    <w:qFormat/>
    <w:pPr>
      <w:keepNext w:val="true"/>
      <w:keepLines/>
      <w:spacing w:before="200" w:after="40"/>
      <w:outlineLvl w:val="5"/>
    </w:pPr>
    <w:rPr>
      <w:b/>
      <w:bCs/>
      <w:sz w:val="20"/>
      <w:szCs w:val="20"/>
    </w:rPr>
  </w:style>
  <w:style w:type="paragraph" w:styleId="Ttulo7">
    <w:name w:val="Heading 7"/>
    <w:basedOn w:val="Normal"/>
    <w:next w:val="Normal"/>
    <w:link w:val="Ttulo7Char"/>
    <w:uiPriority w:val="99"/>
    <w:qFormat/>
    <w:pPr>
      <w:keepNext w:val="true"/>
      <w:jc w:val="left"/>
      <w:outlineLvl w:val="6"/>
    </w:pPr>
    <w:rPr>
      <w:rFonts w:ascii="Times New Roman" w:hAnsi="Times New Roman" w:cs="" w:cstheme="minorBidi"/>
      <w:b/>
      <w:bCs/>
      <w:sz w:val="23"/>
      <w:szCs w:val="23"/>
    </w:rPr>
  </w:style>
  <w:style w:type="paragraph" w:styleId="Ttulo8">
    <w:name w:val="Heading 8"/>
    <w:basedOn w:val="Normal"/>
    <w:next w:val="Normal"/>
    <w:link w:val="Ttulo8Char"/>
    <w:uiPriority w:val="99"/>
    <w:qFormat/>
    <w:pPr>
      <w:keepNext w:val="true"/>
      <w:keepLines/>
      <w:spacing w:before="40" w:after="0"/>
      <w:outlineLvl w:val="7"/>
    </w:pPr>
    <w:rPr>
      <w:rFonts w:ascii="Calibri" w:hAnsi="Calibri" w:cs="Calibri"/>
      <w:color w:val="00000A"/>
      <w:sz w:val="21"/>
      <w:szCs w:val="21"/>
    </w:rPr>
  </w:style>
  <w:style w:type="paragraph" w:styleId="Ttulo9">
    <w:name w:val="Heading 9"/>
    <w:basedOn w:val="Normal"/>
    <w:next w:val="Normal"/>
    <w:link w:val="Ttulo9Char"/>
    <w:uiPriority w:val="99"/>
    <w:qFormat/>
    <w:pPr>
      <w:keepNext w:val="true"/>
      <w:spacing w:lineRule="auto" w:line="276" w:before="120" w:after="120"/>
      <w:ind w:right="-30" w:hanging="0"/>
      <w:jc w:val="center"/>
      <w:outlineLvl w:val="8"/>
    </w:pPr>
    <w:rPr>
      <w:b/>
      <w:bCs/>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9"/>
    <w:qFormat/>
    <w:rPr>
      <w:rFonts w:ascii="Cambria" w:hAnsi="Cambria" w:cs="Cambria"/>
      <w:b/>
      <w:bCs/>
      <w:color w:val="000000"/>
      <w:kern w:val="2"/>
      <w:sz w:val="32"/>
      <w:szCs w:val="32"/>
    </w:rPr>
  </w:style>
  <w:style w:type="character" w:styleId="Ttulo2Char" w:customStyle="1">
    <w:name w:val="Título 2 Char"/>
    <w:basedOn w:val="DefaultParagraphFont"/>
    <w:link w:val="Ttulo2"/>
    <w:uiPriority w:val="99"/>
    <w:qFormat/>
    <w:rPr>
      <w:rFonts w:ascii="Cambria" w:hAnsi="Cambria" w:cs="Cambria"/>
      <w:b/>
      <w:bCs/>
      <w:i/>
      <w:iCs/>
      <w:color w:val="000000"/>
      <w:sz w:val="28"/>
      <w:szCs w:val="28"/>
    </w:rPr>
  </w:style>
  <w:style w:type="character" w:styleId="Ttulo3Char" w:customStyle="1">
    <w:name w:val="Título 3 Char"/>
    <w:basedOn w:val="DefaultParagraphFont"/>
    <w:link w:val="Ttulo3"/>
    <w:uiPriority w:val="99"/>
    <w:qFormat/>
    <w:rPr>
      <w:rFonts w:ascii="Cambria" w:hAnsi="Cambria" w:cs="Cambria"/>
      <w:b/>
      <w:bCs/>
      <w:color w:val="000000"/>
      <w:sz w:val="26"/>
      <w:szCs w:val="26"/>
    </w:rPr>
  </w:style>
  <w:style w:type="character" w:styleId="Ttulo4Char" w:customStyle="1">
    <w:name w:val="Título 4 Char"/>
    <w:basedOn w:val="DefaultParagraphFont"/>
    <w:link w:val="Ttulo4"/>
    <w:uiPriority w:val="99"/>
    <w:qFormat/>
    <w:rPr>
      <w:rFonts w:ascii="Times New Roman" w:hAnsi="Times New Roman" w:cs="Times New Roman"/>
      <w:b/>
      <w:bCs/>
    </w:rPr>
  </w:style>
  <w:style w:type="character" w:styleId="Ttulo5Char" w:customStyle="1">
    <w:name w:val="Título 5 Char"/>
    <w:basedOn w:val="DefaultParagraphFont"/>
    <w:link w:val="Ttulo5"/>
    <w:uiPriority w:val="99"/>
    <w:qFormat/>
    <w:rPr>
      <w:rFonts w:ascii="Times New Roman" w:hAnsi="Times New Roman" w:cs="Times New Roman"/>
      <w:b/>
      <w:bCs/>
      <w:i/>
      <w:iCs/>
      <w:color w:val="000000"/>
      <w:sz w:val="26"/>
      <w:szCs w:val="26"/>
    </w:rPr>
  </w:style>
  <w:style w:type="character" w:styleId="Ttulo6Char" w:customStyle="1">
    <w:name w:val="Título 6 Char"/>
    <w:basedOn w:val="DefaultParagraphFont"/>
    <w:link w:val="Ttulo6"/>
    <w:uiPriority w:val="99"/>
    <w:qFormat/>
    <w:rPr>
      <w:rFonts w:ascii="Times New Roman" w:hAnsi="Times New Roman" w:cs="Times New Roman"/>
      <w:b/>
      <w:bCs/>
      <w:color w:val="000000"/>
    </w:rPr>
  </w:style>
  <w:style w:type="character" w:styleId="Ttulo7Char" w:customStyle="1">
    <w:name w:val="Título 7 Char"/>
    <w:basedOn w:val="DefaultParagraphFont"/>
    <w:link w:val="Ttulo7"/>
    <w:uiPriority w:val="99"/>
    <w:qFormat/>
    <w:rPr>
      <w:rFonts w:ascii="Times New Roman" w:hAnsi="Times New Roman" w:cs="Times New Roman"/>
      <w:b/>
      <w:bCs/>
      <w:sz w:val="23"/>
      <w:szCs w:val="23"/>
    </w:rPr>
  </w:style>
  <w:style w:type="character" w:styleId="Ttulo8Char" w:customStyle="1">
    <w:name w:val="Título 8 Char"/>
    <w:basedOn w:val="DefaultParagraphFont"/>
    <w:link w:val="Ttulo8"/>
    <w:uiPriority w:val="99"/>
    <w:qFormat/>
    <w:rPr>
      <w:rFonts w:ascii="Calibri" w:hAnsi="Calibri" w:cs="Calibri"/>
      <w:color w:val="00000A"/>
      <w:sz w:val="21"/>
      <w:szCs w:val="21"/>
    </w:rPr>
  </w:style>
  <w:style w:type="character" w:styleId="Ttulo9Char" w:customStyle="1">
    <w:name w:val="Título 9 Char"/>
    <w:basedOn w:val="DefaultParagraphFont"/>
    <w:link w:val="Ttulo9"/>
    <w:uiPriority w:val="99"/>
    <w:qFormat/>
    <w:rPr>
      <w:rFonts w:ascii="Times New Roman" w:hAnsi="Times New Roman" w:cs="Times New Roman"/>
      <w:b/>
      <w:bCs/>
    </w:rPr>
  </w:style>
  <w:style w:type="character" w:styleId="TtuloChar" w:customStyle="1">
    <w:name w:val="Título Char"/>
    <w:basedOn w:val="DefaultParagraphFont"/>
    <w:link w:val="Ttulo"/>
    <w:uiPriority w:val="99"/>
    <w:qFormat/>
    <w:rPr>
      <w:rFonts w:ascii="Cambria" w:hAnsi="Cambria" w:cs="Cambria"/>
      <w:b/>
      <w:bCs/>
      <w:color w:val="000000"/>
      <w:kern w:val="2"/>
      <w:sz w:val="32"/>
      <w:szCs w:val="32"/>
    </w:rPr>
  </w:style>
  <w:style w:type="character" w:styleId="SubttuloChar" w:customStyle="1">
    <w:name w:val="Subtítulo Char"/>
    <w:basedOn w:val="DefaultParagraphFont"/>
    <w:link w:val="Subttulo"/>
    <w:uiPriority w:val="99"/>
    <w:qFormat/>
    <w:rPr>
      <w:rFonts w:ascii="Cambria" w:hAnsi="Cambria" w:cs="Cambria"/>
      <w:color w:val="000000"/>
      <w:sz w:val="24"/>
      <w:szCs w:val="24"/>
    </w:rPr>
  </w:style>
  <w:style w:type="character" w:styleId="Qowtfont3arial" w:customStyle="1">
    <w:name w:val="qowt-font3-arial"/>
    <w:basedOn w:val="DefaultParagraphFont"/>
    <w:uiPriority w:val="99"/>
    <w:qFormat/>
    <w:rPr>
      <w:rFonts w:ascii="Times New Roman" w:hAnsi="Times New Roman" w:cs="Times New Roman"/>
    </w:rPr>
  </w:style>
  <w:style w:type="character" w:styleId="Corpodetexto3Char" w:customStyle="1">
    <w:name w:val="Corpo de texto 3 Char"/>
    <w:basedOn w:val="DefaultParagraphFont"/>
    <w:link w:val="Corpodetexto3"/>
    <w:uiPriority w:val="99"/>
    <w:qFormat/>
    <w:rPr>
      <w:rFonts w:ascii="Times New Roman" w:hAnsi="Times New Roman" w:cs="Times New Roman"/>
      <w:b/>
      <w:bCs/>
      <w:color w:val="00000A"/>
      <w:sz w:val="20"/>
      <w:szCs w:val="20"/>
    </w:rPr>
  </w:style>
  <w:style w:type="character" w:styleId="CorpodetextoChar" w:customStyle="1">
    <w:name w:val="Corpo de texto Char"/>
    <w:basedOn w:val="DefaultParagraphFont"/>
    <w:link w:val="Corpodetexto"/>
    <w:uiPriority w:val="99"/>
    <w:qFormat/>
    <w:rPr>
      <w:rFonts w:ascii="Times New Roman" w:hAnsi="Times New Roman" w:cs="Times New Roman"/>
    </w:rPr>
  </w:style>
  <w:style w:type="character" w:styleId="Linenumber">
    <w:name w:val="line number"/>
    <w:basedOn w:val="DefaultParagraphFont"/>
    <w:uiPriority w:val="99"/>
    <w:qFormat/>
    <w:rPr>
      <w:rFonts w:ascii="Times New Roman" w:hAnsi="Times New Roman" w:cs="Times New Roman"/>
    </w:rPr>
  </w:style>
  <w:style w:type="character" w:styleId="CitaoChar" w:customStyle="1">
    <w:name w:val="Citação Char"/>
    <w:basedOn w:val="DefaultParagraphFont"/>
    <w:link w:val="Citao"/>
    <w:uiPriority w:val="99"/>
    <w:qFormat/>
    <w:rPr>
      <w:rFonts w:ascii="Ecofont_Spranq_eco_Sans" w:hAnsi="Ecofont_Spranq_eco_Sans" w:cs="Ecofont_Spranq_eco_Sans"/>
      <w:i/>
      <w:iCs/>
      <w:lang w:eastAsia="en-US"/>
    </w:rPr>
  </w:style>
  <w:style w:type="character" w:styleId="QuoteChar1" w:customStyle="1">
    <w:name w:val="Quote Char1"/>
    <w:basedOn w:val="DefaultParagraphFont"/>
    <w:uiPriority w:val="99"/>
    <w:qFormat/>
    <w:rPr>
      <w:rFonts w:ascii="Times New Roman" w:hAnsi="Times New Roman" w:cs="Times New Roman"/>
      <w:i/>
      <w:iCs/>
      <w:sz w:val="20"/>
      <w:szCs w:val="20"/>
      <w:lang w:eastAsia="en-US"/>
    </w:rPr>
  </w:style>
  <w:style w:type="character" w:styleId="CabealhoChar" w:customStyle="1">
    <w:name w:val="Cabeçalho Char"/>
    <w:basedOn w:val="DefaultParagraphFont"/>
    <w:link w:val="Cabealho"/>
    <w:uiPriority w:val="99"/>
    <w:qFormat/>
    <w:rPr>
      <w:rFonts w:ascii="Times New Roman" w:hAnsi="Times New Roman" w:cs="Times New Roman"/>
    </w:rPr>
  </w:style>
  <w:style w:type="character" w:styleId="RodapChar" w:customStyle="1">
    <w:name w:val="Rodapé Char"/>
    <w:basedOn w:val="DefaultParagraphFont"/>
    <w:link w:val="Rodap"/>
    <w:uiPriority w:val="99"/>
    <w:qFormat/>
    <w:rPr>
      <w:rFonts w:ascii="Times New Roman" w:hAnsi="Times New Roman" w:cs="Times New Roman"/>
    </w:rPr>
  </w:style>
  <w:style w:type="character" w:styleId="LinkdaInternet">
    <w:name w:val="Link da Internet"/>
    <w:basedOn w:val="DefaultParagraphFont"/>
    <w:uiPriority w:val="99"/>
    <w:rPr>
      <w:rFonts w:ascii="Times New Roman" w:hAnsi="Times New Roman" w:cs="Times New Roman"/>
      <w:color w:val="0000FF"/>
      <w:u w:val="single"/>
    </w:rPr>
  </w:style>
  <w:style w:type="character" w:styleId="Nivel1Char" w:customStyle="1">
    <w:name w:val="Nivel1 Char"/>
    <w:basedOn w:val="DefaultParagraphFont"/>
    <w:uiPriority w:val="99"/>
    <w:qFormat/>
    <w:rPr>
      <w:rFonts w:ascii="Times New Roman" w:hAnsi="Times New Roman" w:cs="Times New Roman"/>
      <w:b/>
      <w:bCs/>
      <w:sz w:val="20"/>
      <w:szCs w:val="20"/>
    </w:rPr>
  </w:style>
  <w:style w:type="character" w:styleId="TextodebaloChar" w:customStyle="1">
    <w:name w:val="Texto de balão Char"/>
    <w:basedOn w:val="DefaultParagraphFont"/>
    <w:link w:val="Textodebalo"/>
    <w:uiPriority w:val="99"/>
    <w:qFormat/>
    <w:rPr>
      <w:rFonts w:ascii="Segoe UI" w:hAnsi="Segoe UI" w:cs="Segoe UI"/>
      <w:sz w:val="18"/>
      <w:szCs w:val="18"/>
    </w:rPr>
  </w:style>
  <w:style w:type="character" w:styleId="Corpodetexto2Char" w:customStyle="1">
    <w:name w:val="Corpo de texto 2 Char"/>
    <w:basedOn w:val="DefaultParagraphFont"/>
    <w:link w:val="Corpodetexto2"/>
    <w:uiPriority w:val="99"/>
    <w:semiHidden/>
    <w:qFormat/>
    <w:rsid w:val="00637032"/>
    <w:rPr>
      <w:rFonts w:ascii="Arial" w:hAnsi="Arial" w:cs="Arial"/>
      <w:color w:val="000000"/>
      <w:sz w:val="24"/>
      <w:szCs w:val="24"/>
    </w:rPr>
  </w:style>
  <w:style w:type="character" w:styleId="UnresolvedMention" w:customStyle="1">
    <w:name w:val="Unresolved Mention"/>
    <w:basedOn w:val="DefaultParagraphFont"/>
    <w:uiPriority w:val="99"/>
    <w:semiHidden/>
    <w:unhideWhenUsed/>
    <w:qFormat/>
    <w:rsid w:val="008c3204"/>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color w:val="00000A"/>
      <w:sz w:val="22"/>
      <w:szCs w:val="22"/>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i w:val="false"/>
      <w:iCs w:val="false"/>
    </w:rPr>
  </w:style>
  <w:style w:type="character" w:styleId="ListLabel67">
    <w:name w:val="ListLabel 67"/>
    <w:qFormat/>
    <w:rPr>
      <w:rFonts w:cs="Times New Roman"/>
    </w:rPr>
  </w:style>
  <w:style w:type="character" w:styleId="ListLabel68">
    <w:name w:val="ListLabel 68"/>
    <w:qFormat/>
    <w:rPr>
      <w:rFonts w:cs="Times New Roman"/>
      <w:i w:val="false"/>
      <w:iCs w:val="false"/>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i w:val="false"/>
      <w:iCs w:val="false"/>
    </w:rPr>
  </w:style>
  <w:style w:type="character" w:styleId="ListLabel112">
    <w:name w:val="ListLabel 112"/>
    <w:qFormat/>
    <w:rPr>
      <w:rFonts w:cs="Times New Roman"/>
    </w:rPr>
  </w:style>
  <w:style w:type="character" w:styleId="ListLabel113">
    <w:name w:val="ListLabel 113"/>
    <w:qFormat/>
    <w:rPr>
      <w:rFonts w:cs="Times New Roman"/>
      <w:i w:val="false"/>
      <w:iCs w:val="false"/>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i w:val="false"/>
      <w:iCs w:val="false"/>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b w:val="false"/>
      <w:bCs w:val="false"/>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sz w:val="23"/>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ascii="Arial" w:hAnsi="Arial" w:eastAsia="PalatinoLinotype" w:cs="Arial"/>
    </w:rPr>
  </w:style>
  <w:style w:type="character" w:styleId="ListLabel192">
    <w:name w:val="ListLabel 192"/>
    <w:qFormat/>
    <w:rPr>
      <w:rFonts w:ascii="Arial" w:hAnsi="Arial" w:cs="Arial"/>
      <w:szCs w:val="22"/>
    </w:rPr>
  </w:style>
  <w:style w:type="character" w:styleId="Vnculodendice">
    <w:name w:val="Vínculo de índice"/>
    <w:qFormat/>
    <w:rPr/>
  </w:style>
  <w:style w:type="character" w:styleId="Marcas">
    <w:name w:val="Marcas"/>
    <w:qFormat/>
    <w:rPr>
      <w:rFonts w:ascii="OpenSymbol" w:hAnsi="OpenSymbol" w:eastAsia="OpenSymbol" w:cs="OpenSymbol"/>
    </w:rPr>
  </w:style>
  <w:style w:type="character" w:styleId="ListLabel193">
    <w:name w:val="ListLabel 193"/>
    <w:qFormat/>
    <w:rPr>
      <w:rFonts w:ascii="Times New Roman" w:hAnsi="Times New Roman" w:cs="Times New Roman"/>
      <w:sz w:val="24"/>
    </w:rPr>
  </w:style>
  <w:style w:type="character" w:styleId="ListLabel194">
    <w:name w:val="ListLabel 194"/>
    <w:qFormat/>
    <w:rPr>
      <w:rFonts w:ascii="Times New Roman" w:hAnsi="Times New Roman" w:cs="Times New Roman"/>
      <w:sz w:val="24"/>
    </w:rPr>
  </w:style>
  <w:style w:type="character" w:styleId="ListLabel195">
    <w:name w:val="ListLabel 195"/>
    <w:qFormat/>
    <w:rPr>
      <w:rFonts w:ascii="Times New Roman" w:hAnsi="Times New Roman" w:cs="Times New Roman"/>
      <w:sz w:val="24"/>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sz w:val="23"/>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OpenSymbol"/>
      <w:b w:val="false"/>
    </w:rPr>
  </w:style>
  <w:style w:type="character" w:styleId="ListLabel212">
    <w:name w:val="ListLabel 212"/>
    <w:qFormat/>
    <w:rPr>
      <w:rFonts w:cs="OpenSymbol"/>
      <w:b w:val="false"/>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ascii="Times New Roman" w:hAnsi="Times New Roman" w:cs="Arial"/>
      <w:sz w:val="24"/>
      <w:szCs w:val="24"/>
    </w:rPr>
  </w:style>
  <w:style w:type="character" w:styleId="Smbolosdenumerao">
    <w:name w:val="Símbolos de numeração"/>
    <w:qFormat/>
    <w:rPr/>
  </w:style>
  <w:style w:type="character" w:styleId="ListLabel221">
    <w:name w:val="ListLabel 221"/>
    <w:qFormat/>
    <w:rPr>
      <w:rFonts w:ascii="Times New Roman" w:hAnsi="Times New Roman" w:cs="Times New Roman"/>
      <w:sz w:val="24"/>
    </w:rPr>
  </w:style>
  <w:style w:type="character" w:styleId="ListLabel222">
    <w:name w:val="ListLabel 222"/>
    <w:qFormat/>
    <w:rPr>
      <w:rFonts w:ascii="Times New Roman" w:hAnsi="Times New Roman" w:cs="Times New Roman"/>
      <w:sz w:val="24"/>
    </w:rPr>
  </w:style>
  <w:style w:type="character" w:styleId="ListLabel223">
    <w:name w:val="ListLabel 223"/>
    <w:qFormat/>
    <w:rPr>
      <w:rFonts w:ascii="Times New Roman" w:hAnsi="Times New Roman" w:cs="Times New Roman"/>
      <w:sz w:val="24"/>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sz w:val="23"/>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cs="Open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cs="OpenSymbol"/>
    </w:rPr>
  </w:style>
  <w:style w:type="character" w:styleId="ListLabel266">
    <w:name w:val="ListLabel 266"/>
    <w:qFormat/>
    <w:rPr>
      <w:rFonts w:ascii="Times New Roman" w:hAnsi="Times New Roman" w:eastAsia="PalatinoLinotype"/>
      <w:sz w:val="24"/>
      <w:szCs w:val="24"/>
    </w:rPr>
  </w:style>
  <w:style w:type="character" w:styleId="ListLabel267">
    <w:name w:val="ListLabel 267"/>
    <w:qFormat/>
    <w:rPr>
      <w:rFonts w:ascii="Times New Roman" w:hAnsi="Times New Roman" w:eastAsia="PalatinoLinotype"/>
      <w:sz w:val="24"/>
      <w:szCs w:val="24"/>
    </w:rPr>
  </w:style>
  <w:style w:type="character" w:styleId="ListLabel268">
    <w:name w:val="ListLabel 268"/>
    <w:qFormat/>
    <w:rPr>
      <w:rFonts w:ascii="Times New Roman" w:hAnsi="Times New Roman" w:cs="Arial"/>
      <w:color w:val="00000A"/>
      <w:sz w:val="24"/>
      <w:szCs w:val="24"/>
      <w:u w:val="none"/>
    </w:rPr>
  </w:style>
  <w:style w:type="character" w:styleId="ListLabel269">
    <w:name w:val="ListLabel 269"/>
    <w:qFormat/>
    <w:rPr>
      <w:rFonts w:ascii="Times New Roman" w:hAnsi="Times New Roman" w:cs="Times New Roman"/>
      <w:sz w:val="24"/>
    </w:rPr>
  </w:style>
  <w:style w:type="character" w:styleId="ListLabel270">
    <w:name w:val="ListLabel 270"/>
    <w:qFormat/>
    <w:rPr>
      <w:rFonts w:ascii="Times New Roman" w:hAnsi="Times New Roman" w:cs="Times New Roman"/>
      <w:sz w:val="24"/>
    </w:rPr>
  </w:style>
  <w:style w:type="character" w:styleId="ListLabel271">
    <w:name w:val="ListLabel 271"/>
    <w:qFormat/>
    <w:rPr>
      <w:rFonts w:ascii="Times New Roman" w:hAnsi="Times New Roman" w:cs="Times New Roman"/>
      <w:sz w:val="24"/>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sz w:val="23"/>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OpenSymbol"/>
    </w:rPr>
  </w:style>
  <w:style w:type="character" w:styleId="ListLabel301">
    <w:name w:val="ListLabel 301"/>
    <w:qFormat/>
    <w:rPr>
      <w:rFonts w:cs="OpenSymbol"/>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ascii="Times New Roman" w:hAnsi="Times New Roman" w:eastAsia="PalatinoLinotype"/>
      <w:sz w:val="24"/>
      <w:szCs w:val="24"/>
    </w:rPr>
  </w:style>
  <w:style w:type="character" w:styleId="ListLabel306">
    <w:name w:val="ListLabel 306"/>
    <w:qFormat/>
    <w:rPr>
      <w:rFonts w:ascii="Times New Roman" w:hAnsi="Times New Roman" w:cs="Arial"/>
      <w:color w:val="00000A"/>
      <w:sz w:val="24"/>
      <w:szCs w:val="24"/>
      <w:u w:val="none"/>
    </w:rPr>
  </w:style>
  <w:style w:type="character" w:styleId="WW8Num6z0">
    <w:name w:val="WW8Num6z0"/>
    <w:qFormat/>
    <w:rPr>
      <w:rFonts w:ascii="Times New Roman" w:hAnsi="Times New Roman" w:eastAsia="Arial" w:cs="Times New Roman"/>
      <w:b/>
      <w:bCs/>
      <w:sz w:val="24"/>
      <w:szCs w:val="24"/>
    </w:rPr>
  </w:style>
  <w:style w:type="character" w:styleId="WW8Num6z1">
    <w:name w:val="WW8Num6z1"/>
    <w:qFormat/>
    <w:rPr/>
  </w:style>
  <w:style w:type="character" w:styleId="WW8Num6z2">
    <w:name w:val="WW8Num6z2"/>
    <w:qFormat/>
    <w:rPr/>
  </w:style>
  <w:style w:type="character" w:styleId="WW8Num6z3">
    <w:name w:val="WW8Num6z3"/>
    <w:qFormat/>
    <w:rPr>
      <w:rFonts w:ascii="Wingdings 2" w:hAnsi="Wingdings 2" w:cs="OpenSymbol;Arial Unicode MS"/>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b/>
      <w:bCs/>
      <w:sz w:val="24"/>
      <w:szCs w:val="24"/>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10z0">
    <w:name w:val="WW8Num10z0"/>
    <w:qFormat/>
    <w:rPr>
      <w:rFonts w:ascii="Times New Roman" w:hAnsi="Times New Roman" w:eastAsia="Arial" w:cs="Times New Roman"/>
      <w:b/>
      <w:bCs/>
      <w:color w:val="000000"/>
      <w:sz w:val="24"/>
      <w:szCs w:val="24"/>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9z0">
    <w:name w:val="WW8Num9z0"/>
    <w:qFormat/>
    <w:rPr>
      <w:rFonts w:ascii="Times New Roman" w:hAnsi="Times New Roman" w:eastAsia="Arial" w:cs="Times New Roman"/>
      <w:b w:val="false"/>
      <w:bCs w:val="false"/>
      <w:sz w:val="24"/>
      <w:szCs w:val="24"/>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8z0">
    <w:name w:val="WW8Num8z0"/>
    <w:qFormat/>
    <w:rPr>
      <w:rFonts w:ascii="Times New Roman" w:hAnsi="Times New Roman" w:eastAsia="Arial" w:cs="Times New Roman"/>
      <w:b w:val="false"/>
      <w:bCs w:val="false"/>
      <w:color w:val="000000"/>
      <w:sz w:val="24"/>
      <w:szCs w:val="24"/>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ListLabel307">
    <w:name w:val="ListLabel 307"/>
    <w:qFormat/>
    <w:rPr>
      <w:rFonts w:ascii="Times New Roman" w:hAnsi="Times New Roman" w:cs="Times New Roman"/>
      <w:sz w:val="24"/>
    </w:rPr>
  </w:style>
  <w:style w:type="character" w:styleId="ListLabel308">
    <w:name w:val="ListLabel 308"/>
    <w:qFormat/>
    <w:rPr>
      <w:rFonts w:ascii="Times New Roman" w:hAnsi="Times New Roman" w:cs="Times New Roman"/>
      <w:sz w:val="24"/>
    </w:rPr>
  </w:style>
  <w:style w:type="character" w:styleId="ListLabel309">
    <w:name w:val="ListLabel 309"/>
    <w:qFormat/>
    <w:rPr>
      <w:rFonts w:ascii="Times New Roman" w:hAnsi="Times New Roman" w:cs="Times New Roman"/>
      <w:sz w:val="24"/>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sz w:val="23"/>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ascii="Times New Roman" w:hAnsi="Times New Roman" w:eastAsia="Arial" w:cs="Times New Roman"/>
      <w:b/>
      <w:bCs/>
      <w:sz w:val="24"/>
      <w:szCs w:val="24"/>
    </w:rPr>
  </w:style>
  <w:style w:type="character" w:styleId="ListLabel344">
    <w:name w:val="ListLabel 344"/>
    <w:qFormat/>
    <w:rPr>
      <w:rFonts w:cs="OpenSymbol;Arial Unicode MS"/>
    </w:rPr>
  </w:style>
  <w:style w:type="character" w:styleId="ListLabel345">
    <w:name w:val="ListLabel 345"/>
    <w:qFormat/>
    <w:rPr>
      <w:rFonts w:ascii="Times New Roman" w:hAnsi="Times New Roman"/>
      <w:b/>
      <w:bCs/>
      <w:sz w:val="24"/>
      <w:szCs w:val="24"/>
    </w:rPr>
  </w:style>
  <w:style w:type="character" w:styleId="ListLabel346">
    <w:name w:val="ListLabel 346"/>
    <w:qFormat/>
    <w:rPr>
      <w:rFonts w:ascii="Times New Roman" w:hAnsi="Times New Roman" w:eastAsia="Arial" w:cs="Times New Roman"/>
      <w:b/>
      <w:bCs/>
      <w:color w:val="000000"/>
      <w:sz w:val="24"/>
      <w:szCs w:val="24"/>
    </w:rPr>
  </w:style>
  <w:style w:type="character" w:styleId="ListLabel347">
    <w:name w:val="ListLabel 347"/>
    <w:qFormat/>
    <w:rPr>
      <w:rFonts w:ascii="Times New Roman" w:hAnsi="Times New Roman" w:eastAsia="Arial" w:cs="Times New Roman"/>
      <w:b w:val="false"/>
      <w:bCs w:val="false"/>
      <w:sz w:val="24"/>
      <w:szCs w:val="24"/>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cs="Symbol"/>
    </w:rPr>
  </w:style>
  <w:style w:type="character" w:styleId="ListLabel351">
    <w:name w:val="ListLabel 351"/>
    <w:qFormat/>
    <w:rPr>
      <w:rFonts w:eastAsia="Arial" w:cs="Times New Roman"/>
      <w:b w:val="false"/>
      <w:bCs w:val="false"/>
      <w:color w:val="000000"/>
      <w:sz w:val="24"/>
      <w:szCs w:val="24"/>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cs="Symbol"/>
    </w:rPr>
  </w:style>
  <w:style w:type="character" w:styleId="ListLabel355">
    <w:name w:val="ListLabel 355"/>
    <w:qFormat/>
    <w:rPr>
      <w:rFonts w:ascii="Times New Roman" w:hAnsi="Times New Roman" w:cs="Wingdings"/>
      <w:sz w:val="24"/>
    </w:rPr>
  </w:style>
  <w:style w:type="character" w:styleId="ListLabel356">
    <w:name w:val="ListLabel 356"/>
    <w:qFormat/>
    <w:rPr>
      <w:rFonts w:cs="Times New Roman"/>
    </w:rPr>
  </w:style>
  <w:style w:type="character" w:styleId="ListLabel357">
    <w:name w:val="ListLabel 357"/>
    <w:qFormat/>
    <w:rPr>
      <w:rFonts w:cs="Wingdings"/>
    </w:rPr>
  </w:style>
  <w:style w:type="character" w:styleId="ListLabel358">
    <w:name w:val="ListLabel 358"/>
    <w:qFormat/>
    <w:rPr>
      <w:rFonts w:cs="Symbol"/>
    </w:rPr>
  </w:style>
  <w:style w:type="character" w:styleId="ListLabel359">
    <w:name w:val="ListLabel 359"/>
    <w:qFormat/>
    <w:rPr>
      <w:rFonts w:cs="Times New Roman"/>
    </w:rPr>
  </w:style>
  <w:style w:type="character" w:styleId="ListLabel360">
    <w:name w:val="ListLabel 360"/>
    <w:qFormat/>
    <w:rPr>
      <w:rFonts w:cs="Wingdings"/>
    </w:rPr>
  </w:style>
  <w:style w:type="character" w:styleId="ListLabel361">
    <w:name w:val="ListLabel 361"/>
    <w:qFormat/>
    <w:rPr>
      <w:rFonts w:cs="Symbol"/>
    </w:rPr>
  </w:style>
  <w:style w:type="character" w:styleId="ListLabel362">
    <w:name w:val="ListLabel 362"/>
    <w:qFormat/>
    <w:rPr>
      <w:rFonts w:cs="Times New Roman"/>
    </w:rPr>
  </w:style>
  <w:style w:type="character" w:styleId="ListLabel363">
    <w:name w:val="ListLabel 363"/>
    <w:qFormat/>
    <w:rPr>
      <w:rFonts w:cs="Wingdings"/>
    </w:rPr>
  </w:style>
  <w:style w:type="character" w:styleId="ListLabel364">
    <w:name w:val="ListLabel 364"/>
    <w:qFormat/>
    <w:rPr>
      <w:rFonts w:ascii="Times New Roman" w:hAnsi="Times New Roman" w:eastAsia="PalatinoLinotype"/>
      <w:sz w:val="24"/>
      <w:szCs w:val="24"/>
    </w:rPr>
  </w:style>
  <w:style w:type="character" w:styleId="ListLabel365">
    <w:name w:val="ListLabel 365"/>
    <w:qFormat/>
    <w:rPr>
      <w:rFonts w:ascii="Times New Roman" w:hAnsi="Times New Roman" w:cs="Arial"/>
      <w:color w:val="00000A"/>
      <w:sz w:val="24"/>
      <w:szCs w:val="24"/>
      <w:u w:val="none"/>
    </w:rPr>
  </w:style>
  <w:style w:type="character" w:styleId="ListLabel366">
    <w:name w:val="ListLabel 366"/>
    <w:qFormat/>
    <w:rPr>
      <w:rFonts w:cs="Times New Roman"/>
      <w:sz w:val="24"/>
    </w:rPr>
  </w:style>
  <w:style w:type="character" w:styleId="ListLabel367">
    <w:name w:val="ListLabel 367"/>
    <w:qFormat/>
    <w:rPr>
      <w:rFonts w:ascii="Times New Roman" w:hAnsi="Times New Roman" w:cs="Times New Roman"/>
      <w:sz w:val="24"/>
    </w:rPr>
  </w:style>
  <w:style w:type="character" w:styleId="ListLabel368">
    <w:name w:val="ListLabel 368"/>
    <w:qFormat/>
    <w:rPr>
      <w:rFonts w:cs="Times New Roman"/>
      <w:sz w:val="24"/>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sz w:val="23"/>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ascii="Times New Roman" w:hAnsi="Times New Roman" w:eastAsia="Arial" w:cs="Times New Roman"/>
      <w:b/>
      <w:bCs/>
      <w:sz w:val="24"/>
      <w:szCs w:val="24"/>
    </w:rPr>
  </w:style>
  <w:style w:type="character" w:styleId="ListLabel403">
    <w:name w:val="ListLabel 403"/>
    <w:qFormat/>
    <w:rPr>
      <w:rFonts w:cs="OpenSymbol;Arial Unicode MS"/>
    </w:rPr>
  </w:style>
  <w:style w:type="character" w:styleId="ListLabel404">
    <w:name w:val="ListLabel 404"/>
    <w:qFormat/>
    <w:rPr>
      <w:rFonts w:ascii="Times New Roman" w:hAnsi="Times New Roman"/>
      <w:b/>
      <w:bCs/>
      <w:sz w:val="24"/>
      <w:szCs w:val="24"/>
    </w:rPr>
  </w:style>
  <w:style w:type="character" w:styleId="ListLabel405">
    <w:name w:val="ListLabel 405"/>
    <w:qFormat/>
    <w:rPr>
      <w:rFonts w:ascii="Times New Roman" w:hAnsi="Times New Roman" w:eastAsia="Arial" w:cs="Times New Roman"/>
      <w:b/>
      <w:bCs/>
      <w:color w:val="000000"/>
      <w:sz w:val="24"/>
      <w:szCs w:val="24"/>
    </w:rPr>
  </w:style>
  <w:style w:type="character" w:styleId="ListLabel406">
    <w:name w:val="ListLabel 406"/>
    <w:qFormat/>
    <w:rPr>
      <w:rFonts w:ascii="Times New Roman" w:hAnsi="Times New Roman" w:eastAsia="Arial" w:cs="Times New Roman"/>
      <w:b w:val="false"/>
      <w:bCs w:val="false"/>
      <w:sz w:val="24"/>
      <w:szCs w:val="24"/>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eastAsia="Arial" w:cs="Times New Roman"/>
      <w:b w:val="false"/>
      <w:bCs w:val="false"/>
      <w:color w:val="000000"/>
      <w:sz w:val="24"/>
      <w:szCs w:val="24"/>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ascii="Times New Roman" w:hAnsi="Times New Roman" w:cs="Wingdings"/>
      <w:sz w:val="24"/>
    </w:rPr>
  </w:style>
  <w:style w:type="character" w:styleId="ListLabel415">
    <w:name w:val="ListLabel 415"/>
    <w:qFormat/>
    <w:rPr>
      <w:rFonts w:cs="Times New Roman"/>
    </w:rPr>
  </w:style>
  <w:style w:type="character" w:styleId="ListLabel416">
    <w:name w:val="ListLabel 416"/>
    <w:qFormat/>
    <w:rPr>
      <w:rFonts w:cs="Wingdings"/>
    </w:rPr>
  </w:style>
  <w:style w:type="character" w:styleId="ListLabel417">
    <w:name w:val="ListLabel 417"/>
    <w:qFormat/>
    <w:rPr>
      <w:rFonts w:cs="Symbol"/>
    </w:rPr>
  </w:style>
  <w:style w:type="character" w:styleId="ListLabel418">
    <w:name w:val="ListLabel 418"/>
    <w:qFormat/>
    <w:rPr>
      <w:rFonts w:cs="Times New Roman"/>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Times New Roman"/>
    </w:rPr>
  </w:style>
  <w:style w:type="character" w:styleId="ListLabel422">
    <w:name w:val="ListLabel 422"/>
    <w:qFormat/>
    <w:rPr>
      <w:rFonts w:cs="Wingdings"/>
    </w:rPr>
  </w:style>
  <w:style w:type="character" w:styleId="ListLabel423">
    <w:name w:val="ListLabel 423"/>
    <w:qFormat/>
    <w:rPr>
      <w:rFonts w:ascii="Times New Roman" w:hAnsi="Times New Roman" w:eastAsia="PalatinoLinotype"/>
      <w:sz w:val="24"/>
      <w:szCs w:val="24"/>
    </w:rPr>
  </w:style>
  <w:style w:type="character" w:styleId="ListLabel424">
    <w:name w:val="ListLabel 424"/>
    <w:qFormat/>
    <w:rPr>
      <w:rFonts w:ascii="Times New Roman" w:hAnsi="Times New Roman" w:cs="Arial"/>
      <w:color w:val="00000A"/>
      <w:sz w:val="24"/>
      <w:szCs w:val="24"/>
      <w:u w:val="none"/>
    </w:rPr>
  </w:style>
  <w:style w:type="character" w:styleId="ListLabel425">
    <w:name w:val="ListLabel 425"/>
    <w:qFormat/>
    <w:rPr>
      <w:rFonts w:cs="Times New Roman"/>
      <w:sz w:val="24"/>
    </w:rPr>
  </w:style>
  <w:style w:type="character" w:styleId="ListLabel426">
    <w:name w:val="ListLabel 426"/>
    <w:qFormat/>
    <w:rPr>
      <w:rFonts w:ascii="Times New Roman" w:hAnsi="Times New Roman" w:cs="Times New Roman"/>
      <w:sz w:val="24"/>
    </w:rPr>
  </w:style>
  <w:style w:type="character" w:styleId="ListLabel427">
    <w:name w:val="ListLabel 427"/>
    <w:qFormat/>
    <w:rPr>
      <w:rFonts w:cs="Times New Roman"/>
      <w:sz w:val="24"/>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sz w:val="23"/>
    </w:rPr>
  </w:style>
  <w:style w:type="character" w:styleId="ListLabel435">
    <w:name w:val="ListLabel 435"/>
    <w:qFormat/>
    <w:rPr>
      <w:rFonts w:cs="Times New Roman"/>
    </w:rPr>
  </w:style>
  <w:style w:type="character" w:styleId="ListLabel436">
    <w:name w:val="ListLabel 436"/>
    <w:qFormat/>
    <w:rPr>
      <w:rFonts w:cs="Times New Roman"/>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ascii="Times New Roman" w:hAnsi="Times New Roman" w:eastAsia="Arial" w:cs="Times New Roman"/>
      <w:b/>
      <w:bCs/>
      <w:sz w:val="24"/>
      <w:szCs w:val="24"/>
    </w:rPr>
  </w:style>
  <w:style w:type="character" w:styleId="ListLabel462">
    <w:name w:val="ListLabel 462"/>
    <w:qFormat/>
    <w:rPr>
      <w:rFonts w:cs="OpenSymbol;Arial Unicode MS"/>
    </w:rPr>
  </w:style>
  <w:style w:type="character" w:styleId="ListLabel463">
    <w:name w:val="ListLabel 463"/>
    <w:qFormat/>
    <w:rPr>
      <w:rFonts w:ascii="Times New Roman" w:hAnsi="Times New Roman"/>
      <w:b/>
      <w:bCs/>
      <w:sz w:val="24"/>
      <w:szCs w:val="24"/>
    </w:rPr>
  </w:style>
  <w:style w:type="character" w:styleId="ListLabel464">
    <w:name w:val="ListLabel 464"/>
    <w:qFormat/>
    <w:rPr>
      <w:rFonts w:ascii="Times New Roman" w:hAnsi="Times New Roman" w:eastAsia="Arial" w:cs="Times New Roman"/>
      <w:b/>
      <w:bCs/>
      <w:color w:val="000000"/>
      <w:sz w:val="24"/>
      <w:szCs w:val="24"/>
    </w:rPr>
  </w:style>
  <w:style w:type="character" w:styleId="ListLabel465">
    <w:name w:val="ListLabel 465"/>
    <w:qFormat/>
    <w:rPr>
      <w:rFonts w:ascii="Times New Roman" w:hAnsi="Times New Roman" w:eastAsia="Arial" w:cs="Times New Roman"/>
      <w:b w:val="false"/>
      <w:bCs w:val="false"/>
      <w:sz w:val="24"/>
      <w:szCs w:val="24"/>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eastAsia="Arial" w:cs="Times New Roman"/>
      <w:b w:val="false"/>
      <w:bCs w:val="false"/>
      <w:color w:val="000000"/>
      <w:sz w:val="24"/>
      <w:szCs w:val="24"/>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ascii="Times New Roman" w:hAnsi="Times New Roman" w:cs="Wingdings"/>
      <w:sz w:val="24"/>
    </w:rPr>
  </w:style>
  <w:style w:type="character" w:styleId="ListLabel474">
    <w:name w:val="ListLabel 474"/>
    <w:qFormat/>
    <w:rPr>
      <w:rFonts w:cs="Times New Roman"/>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Times New Roman"/>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Times New Roman"/>
    </w:rPr>
  </w:style>
  <w:style w:type="character" w:styleId="ListLabel481">
    <w:name w:val="ListLabel 481"/>
    <w:qFormat/>
    <w:rPr>
      <w:rFonts w:cs="Wingdings"/>
    </w:rPr>
  </w:style>
  <w:style w:type="character" w:styleId="ListLabel482">
    <w:name w:val="ListLabel 482"/>
    <w:qFormat/>
    <w:rPr>
      <w:rFonts w:ascii="Times New Roman" w:hAnsi="Times New Roman" w:eastAsia="PalatinoLinotype"/>
      <w:sz w:val="24"/>
      <w:szCs w:val="24"/>
    </w:rPr>
  </w:style>
  <w:style w:type="character" w:styleId="ListLabel483">
    <w:name w:val="ListLabel 483"/>
    <w:qFormat/>
    <w:rPr>
      <w:rFonts w:ascii="Times New Roman" w:hAnsi="Times New Roman" w:cs="Arial"/>
      <w:color w:val="00000A"/>
      <w:sz w:val="24"/>
      <w:szCs w:val="24"/>
      <w:u w:val="none"/>
    </w:rPr>
  </w:style>
  <w:style w:type="character" w:styleId="ListLabel484">
    <w:name w:val="ListLabel 484"/>
    <w:qFormat/>
    <w:rPr>
      <w:rFonts w:cs="Times New Roman"/>
      <w:sz w:val="24"/>
    </w:rPr>
  </w:style>
  <w:style w:type="character" w:styleId="ListLabel485">
    <w:name w:val="ListLabel 485"/>
    <w:qFormat/>
    <w:rPr>
      <w:rFonts w:ascii="Times New Roman" w:hAnsi="Times New Roman" w:cs="Times New Roman"/>
      <w:sz w:val="24"/>
    </w:rPr>
  </w:style>
  <w:style w:type="character" w:styleId="ListLabel486">
    <w:name w:val="ListLabel 486"/>
    <w:qFormat/>
    <w:rPr>
      <w:rFonts w:cs="Times New Roman"/>
      <w:sz w:val="24"/>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cs="Times New Roman"/>
    </w:rPr>
  </w:style>
  <w:style w:type="character" w:styleId="ListLabel491">
    <w:name w:val="ListLabel 491"/>
    <w:qFormat/>
    <w:rPr>
      <w:rFonts w:cs="Times New Roman"/>
    </w:rPr>
  </w:style>
  <w:style w:type="character" w:styleId="ListLabel492">
    <w:name w:val="ListLabel 492"/>
    <w:qFormat/>
    <w:rPr>
      <w:rFonts w:cs="Times New Roman"/>
    </w:rPr>
  </w:style>
  <w:style w:type="character" w:styleId="ListLabel493">
    <w:name w:val="ListLabel 493"/>
    <w:qFormat/>
    <w:rPr>
      <w:rFonts w:cs="Times New Roman"/>
      <w:sz w:val="23"/>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cs="Times New Roman"/>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ascii="Times New Roman" w:hAnsi="Times New Roman" w:eastAsia="Arial" w:cs="Times New Roman"/>
      <w:b/>
      <w:bCs/>
      <w:sz w:val="24"/>
      <w:szCs w:val="24"/>
    </w:rPr>
  </w:style>
  <w:style w:type="character" w:styleId="ListLabel521">
    <w:name w:val="ListLabel 521"/>
    <w:qFormat/>
    <w:rPr>
      <w:rFonts w:cs="OpenSymbol;Arial Unicode MS"/>
    </w:rPr>
  </w:style>
  <w:style w:type="character" w:styleId="ListLabel522">
    <w:name w:val="ListLabel 522"/>
    <w:qFormat/>
    <w:rPr>
      <w:rFonts w:ascii="Times New Roman" w:hAnsi="Times New Roman"/>
      <w:b/>
      <w:bCs/>
      <w:sz w:val="24"/>
      <w:szCs w:val="24"/>
    </w:rPr>
  </w:style>
  <w:style w:type="character" w:styleId="ListLabel523">
    <w:name w:val="ListLabel 523"/>
    <w:qFormat/>
    <w:rPr>
      <w:rFonts w:ascii="Times New Roman" w:hAnsi="Times New Roman" w:eastAsia="Arial" w:cs="Times New Roman"/>
      <w:b/>
      <w:bCs/>
      <w:color w:val="000000"/>
      <w:sz w:val="24"/>
      <w:szCs w:val="24"/>
    </w:rPr>
  </w:style>
  <w:style w:type="character" w:styleId="ListLabel524">
    <w:name w:val="ListLabel 524"/>
    <w:qFormat/>
    <w:rPr>
      <w:rFonts w:ascii="Times New Roman" w:hAnsi="Times New Roman" w:eastAsia="Arial" w:cs="Times New Roman"/>
      <w:b w:val="false"/>
      <w:bCs w:val="false"/>
      <w:sz w:val="24"/>
      <w:szCs w:val="24"/>
    </w:rPr>
  </w:style>
  <w:style w:type="character" w:styleId="ListLabel525">
    <w:name w:val="ListLabel 525"/>
    <w:qFormat/>
    <w:rPr>
      <w:rFonts w:cs="Courier New"/>
    </w:rPr>
  </w:style>
  <w:style w:type="character" w:styleId="ListLabel526">
    <w:name w:val="ListLabel 526"/>
    <w:qFormat/>
    <w:rPr>
      <w:rFonts w:cs="Wingdings"/>
    </w:rPr>
  </w:style>
  <w:style w:type="character" w:styleId="ListLabel527">
    <w:name w:val="ListLabel 527"/>
    <w:qFormat/>
    <w:rPr>
      <w:rFonts w:cs="Symbol"/>
    </w:rPr>
  </w:style>
  <w:style w:type="character" w:styleId="ListLabel528">
    <w:name w:val="ListLabel 528"/>
    <w:qFormat/>
    <w:rPr>
      <w:rFonts w:eastAsia="Arial" w:cs="Times New Roman"/>
      <w:b w:val="false"/>
      <w:bCs w:val="false"/>
      <w:color w:val="000000"/>
      <w:sz w:val="24"/>
      <w:szCs w:val="24"/>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ascii="Times New Roman" w:hAnsi="Times New Roman" w:cs="Wingdings"/>
      <w:sz w:val="24"/>
    </w:rPr>
  </w:style>
  <w:style w:type="character" w:styleId="ListLabel533">
    <w:name w:val="ListLabel 533"/>
    <w:qFormat/>
    <w:rPr>
      <w:rFonts w:cs="Times New Roman"/>
    </w:rPr>
  </w:style>
  <w:style w:type="character" w:styleId="ListLabel534">
    <w:name w:val="ListLabel 534"/>
    <w:qFormat/>
    <w:rPr>
      <w:rFonts w:cs="Wingdings"/>
    </w:rPr>
  </w:style>
  <w:style w:type="character" w:styleId="ListLabel535">
    <w:name w:val="ListLabel 535"/>
    <w:qFormat/>
    <w:rPr>
      <w:rFonts w:cs="Symbol"/>
    </w:rPr>
  </w:style>
  <w:style w:type="character" w:styleId="ListLabel536">
    <w:name w:val="ListLabel 536"/>
    <w:qFormat/>
    <w:rPr>
      <w:rFonts w:cs="Times New Roman"/>
    </w:rPr>
  </w:style>
  <w:style w:type="character" w:styleId="ListLabel537">
    <w:name w:val="ListLabel 537"/>
    <w:qFormat/>
    <w:rPr>
      <w:rFonts w:cs="Wingdings"/>
    </w:rPr>
  </w:style>
  <w:style w:type="character" w:styleId="ListLabel538">
    <w:name w:val="ListLabel 538"/>
    <w:qFormat/>
    <w:rPr>
      <w:rFonts w:cs="Symbol"/>
    </w:rPr>
  </w:style>
  <w:style w:type="character" w:styleId="ListLabel539">
    <w:name w:val="ListLabel 539"/>
    <w:qFormat/>
    <w:rPr>
      <w:rFonts w:cs="Times New Roman"/>
    </w:rPr>
  </w:style>
  <w:style w:type="character" w:styleId="ListLabel540">
    <w:name w:val="ListLabel 540"/>
    <w:qFormat/>
    <w:rPr>
      <w:rFonts w:cs="Wingdings"/>
    </w:rPr>
  </w:style>
  <w:style w:type="character" w:styleId="ListLabel541">
    <w:name w:val="ListLabel 541"/>
    <w:qFormat/>
    <w:rPr>
      <w:rFonts w:ascii="Times New Roman" w:hAnsi="Times New Roman" w:eastAsia="PalatinoLinotype"/>
      <w:sz w:val="24"/>
      <w:szCs w:val="24"/>
    </w:rPr>
  </w:style>
  <w:style w:type="character" w:styleId="ListLabel542">
    <w:name w:val="ListLabel 542"/>
    <w:qFormat/>
    <w:rPr>
      <w:rFonts w:ascii="Times New Roman" w:hAnsi="Times New Roman" w:cs="Arial"/>
      <w:color w:val="00000A"/>
      <w:sz w:val="24"/>
      <w:szCs w:val="24"/>
      <w:u w:val="none"/>
    </w:rPr>
  </w:style>
  <w:style w:type="paragraph" w:styleId="Ttulo">
    <w:name w:val="Título"/>
    <w:basedOn w:val="Normal"/>
    <w:next w:val="Corpodetexto"/>
    <w:qFormat/>
    <w:pPr>
      <w:keepNext w:val="true"/>
      <w:spacing w:before="240" w:after="120"/>
    </w:pPr>
    <w:rPr>
      <w:rFonts w:ascii="Liberation Sans" w:hAnsi="Liberation Sans" w:eastAsia="Microsoft YaHei" w:cs="Mangal"/>
      <w:sz w:val="28"/>
      <w:szCs w:val="28"/>
    </w:rPr>
  </w:style>
  <w:style w:type="paragraph" w:styleId="Corpodetexto">
    <w:name w:val="Body Text"/>
    <w:basedOn w:val="Normal"/>
    <w:link w:val="CorpodetextoChar"/>
    <w:uiPriority w:val="99"/>
    <w:pPr>
      <w:spacing w:before="0" w:after="12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Ttulododocumento">
    <w:name w:val="Title"/>
    <w:basedOn w:val="Normal"/>
    <w:link w:val="TtuloChar"/>
    <w:uiPriority w:val="99"/>
    <w:qFormat/>
    <w:pPr>
      <w:spacing w:before="0" w:after="300"/>
    </w:pPr>
    <w:rPr>
      <w:color w:val="00000A"/>
      <w:sz w:val="52"/>
      <w:szCs w:val="52"/>
    </w:rPr>
  </w:style>
  <w:style w:type="paragraph" w:styleId="Subttulo">
    <w:name w:val="Subtitle"/>
    <w:basedOn w:val="Normal"/>
    <w:link w:val="SubttuloChar"/>
    <w:uiPriority w:val="99"/>
    <w:qFormat/>
    <w:pPr/>
    <w:rPr>
      <w:i/>
      <w:iCs/>
      <w:color w:val="00000A"/>
    </w:rPr>
  </w:style>
  <w:style w:type="paragraph" w:styleId="Default" w:customStyle="1">
    <w:name w:val="Default"/>
    <w:uiPriority w:val="99"/>
    <w:qFormat/>
    <w:pPr>
      <w:widowControl/>
      <w:bidi w:val="0"/>
      <w:jc w:val="left"/>
    </w:pPr>
    <w:rPr>
      <w:rFonts w:ascii="Arial" w:hAnsi="Arial" w:eastAsia="" w:cs="Arial"/>
      <w:color w:val="000000"/>
      <w:kern w:val="0"/>
      <w:sz w:val="24"/>
      <w:szCs w:val="24"/>
      <w:lang w:val="pt-BR" w:eastAsia="pt-BR" w:bidi="ar-SA"/>
    </w:rPr>
  </w:style>
  <w:style w:type="paragraph" w:styleId="ListParagraph">
    <w:name w:val="List Paragraph"/>
    <w:basedOn w:val="Normal"/>
    <w:uiPriority w:val="99"/>
    <w:qFormat/>
    <w:pPr>
      <w:ind w:left="720" w:hanging="0"/>
    </w:pPr>
    <w:rPr/>
  </w:style>
  <w:style w:type="paragraph" w:styleId="NormalWeb">
    <w:name w:val="Normal (Web)"/>
    <w:basedOn w:val="Normal"/>
    <w:uiPriority w:val="99"/>
    <w:qFormat/>
    <w:pPr>
      <w:spacing w:beforeAutospacing="1" w:afterAutospacing="1"/>
      <w:jc w:val="left"/>
    </w:pPr>
    <w:rPr>
      <w:rFonts w:ascii="Times New Roman" w:hAnsi="Times New Roman" w:cs="Times New Roman"/>
      <w:color w:val="00000A"/>
    </w:rPr>
  </w:style>
  <w:style w:type="paragraph" w:styleId="Estilo1" w:customStyle="1">
    <w:name w:val="Estilo1"/>
    <w:basedOn w:val="Normal"/>
    <w:uiPriority w:val="99"/>
    <w:qFormat/>
    <w:pPr>
      <w:tabs>
        <w:tab w:val="left" w:pos="851" w:leader="none"/>
      </w:tabs>
      <w:suppressAutoHyphens w:val="true"/>
    </w:pPr>
    <w:rPr>
      <w:color w:val="00000A"/>
      <w:sz w:val="22"/>
      <w:szCs w:val="22"/>
      <w:lang w:eastAsia="zh-CN"/>
    </w:rPr>
  </w:style>
  <w:style w:type="paragraph" w:styleId="Corpodetexto31" w:customStyle="1">
    <w:name w:val="Corpo de texto 31"/>
    <w:basedOn w:val="Normal"/>
    <w:uiPriority w:val="99"/>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 w:val="left" w:pos="26640" w:leader="none"/>
      </w:tabs>
      <w:overflowPunct w:val="false"/>
      <w:textAlignment w:val="baseline"/>
    </w:pPr>
    <w:rPr>
      <w:b/>
      <w:bCs/>
      <w:color w:val="00000A"/>
      <w:sz w:val="28"/>
      <w:szCs w:val="28"/>
    </w:rPr>
  </w:style>
  <w:style w:type="paragraph" w:styleId="Qowtstldefault" w:customStyle="1">
    <w:name w:val="qowt-stl-default"/>
    <w:basedOn w:val="Normal"/>
    <w:uiPriority w:val="99"/>
    <w:qFormat/>
    <w:pPr>
      <w:spacing w:beforeAutospacing="1" w:afterAutospacing="1"/>
      <w:jc w:val="left"/>
    </w:pPr>
    <w:rPr>
      <w:rFonts w:ascii="Times New Roman" w:hAnsi="Times New Roman" w:cs="Times New Roman"/>
      <w:color w:val="00000A"/>
    </w:rPr>
  </w:style>
  <w:style w:type="paragraph" w:styleId="Qowtstlcorpodetexto2" w:customStyle="1">
    <w:name w:val="qowt-stl-corpodetexto2"/>
    <w:basedOn w:val="Normal"/>
    <w:uiPriority w:val="99"/>
    <w:qFormat/>
    <w:pPr>
      <w:spacing w:beforeAutospacing="1" w:afterAutospacing="1"/>
      <w:jc w:val="left"/>
    </w:pPr>
    <w:rPr>
      <w:rFonts w:ascii="Times New Roman" w:hAnsi="Times New Roman" w:cs="Times New Roman"/>
      <w:color w:val="00000A"/>
    </w:rPr>
  </w:style>
  <w:style w:type="paragraph" w:styleId="Qowtli51" w:customStyle="1">
    <w:name w:val="qowt-li-5_1"/>
    <w:basedOn w:val="Normal"/>
    <w:uiPriority w:val="99"/>
    <w:qFormat/>
    <w:pPr>
      <w:spacing w:beforeAutospacing="1" w:afterAutospacing="1"/>
      <w:jc w:val="left"/>
    </w:pPr>
    <w:rPr>
      <w:rFonts w:ascii="Times New Roman" w:hAnsi="Times New Roman" w:cs="Times New Roman"/>
      <w:color w:val="00000A"/>
    </w:rPr>
  </w:style>
  <w:style w:type="paragraph" w:styleId="Qowtstlpargrafodalista" w:customStyle="1">
    <w:name w:val="qowt-stl-pargrafodalista"/>
    <w:basedOn w:val="Normal"/>
    <w:uiPriority w:val="99"/>
    <w:qFormat/>
    <w:pPr>
      <w:spacing w:beforeAutospacing="1" w:afterAutospacing="1"/>
      <w:jc w:val="left"/>
    </w:pPr>
    <w:rPr>
      <w:rFonts w:ascii="Times New Roman" w:hAnsi="Times New Roman" w:cs="Times New Roman"/>
      <w:color w:val="00000A"/>
    </w:rPr>
  </w:style>
  <w:style w:type="paragraph" w:styleId="Qowtli42" w:customStyle="1">
    <w:name w:val="qowt-li-4_2"/>
    <w:basedOn w:val="Normal"/>
    <w:uiPriority w:val="99"/>
    <w:qFormat/>
    <w:pPr>
      <w:spacing w:beforeAutospacing="1" w:afterAutospacing="1"/>
      <w:jc w:val="left"/>
    </w:pPr>
    <w:rPr>
      <w:rFonts w:ascii="Times New Roman" w:hAnsi="Times New Roman" w:cs="Times New Roman"/>
      <w:color w:val="00000A"/>
    </w:rPr>
  </w:style>
  <w:style w:type="paragraph" w:styleId="Corpodetexto32" w:customStyle="1">
    <w:name w:val="Corpo de texto 32"/>
    <w:basedOn w:val="Normal"/>
    <w:uiPriority w:val="99"/>
    <w:qFormat/>
    <w:pPr>
      <w:spacing w:lineRule="exact" w:line="270"/>
    </w:pPr>
    <w:rPr>
      <w:rFonts w:ascii="Times New Roman" w:hAnsi="Times New Roman" w:cs="Times New Roman"/>
      <w:color w:val="00000A"/>
    </w:rPr>
  </w:style>
  <w:style w:type="paragraph" w:styleId="BodyText3">
    <w:name w:val="Body Text 3"/>
    <w:basedOn w:val="Normal"/>
    <w:link w:val="Corpodetexto3Char"/>
    <w:uiPriority w:val="99"/>
    <w:qFormat/>
    <w:pPr>
      <w:tabs>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pPr>
    <w:rPr>
      <w:rFonts w:ascii="Times New Roman" w:hAnsi="Times New Roman" w:cs="Times New Roman"/>
      <w:b/>
      <w:bCs/>
      <w:color w:val="00000A"/>
    </w:rPr>
  </w:style>
  <w:style w:type="paragraph" w:styleId="Western" w:customStyle="1">
    <w:name w:val="western"/>
    <w:basedOn w:val="Normal"/>
    <w:uiPriority w:val="99"/>
    <w:qFormat/>
    <w:pPr>
      <w:spacing w:beforeAutospacing="1" w:after="119"/>
      <w:jc w:val="left"/>
    </w:pPr>
    <w:rPr>
      <w:rFonts w:ascii="Arial Unicode MS" w:hAnsi="Arial Unicode MS" w:eastAsia="Arial Unicode MS" w:cs="Arial Unicode MS"/>
      <w:color w:val="00000A"/>
    </w:rPr>
  </w:style>
  <w:style w:type="paragraph" w:styleId="Corpodetexto33" w:customStyle="1">
    <w:name w:val="Corpo de texto 33"/>
    <w:basedOn w:val="Normal"/>
    <w:uiPriority w:val="99"/>
    <w:qFormat/>
    <w:pPr>
      <w:spacing w:lineRule="exact" w:line="270"/>
    </w:pPr>
    <w:rPr>
      <w:rFonts w:ascii="Times New Roman" w:hAnsi="Times New Roman" w:cs="Times New Roman"/>
      <w:color w:val="00000A"/>
    </w:rPr>
  </w:style>
  <w:style w:type="paragraph" w:styleId="Corpodetexto34" w:customStyle="1">
    <w:name w:val="Corpo de texto 34"/>
    <w:basedOn w:val="Normal"/>
    <w:uiPriority w:val="99"/>
    <w:qFormat/>
    <w:pPr>
      <w:spacing w:lineRule="exact" w:line="270"/>
    </w:pPr>
    <w:rPr>
      <w:rFonts w:ascii="Times New Roman" w:hAnsi="Times New Roman" w:cs="Times New Roman"/>
      <w:color w:val="00000A"/>
    </w:rPr>
  </w:style>
  <w:style w:type="paragraph" w:styleId="Assinaturas" w:customStyle="1">
    <w:name w:val="Assinaturas"/>
    <w:basedOn w:val="Normal"/>
    <w:uiPriority w:val="99"/>
    <w:qFormat/>
    <w:pPr>
      <w:jc w:val="center"/>
    </w:pPr>
    <w:rPr>
      <w:rFonts w:ascii="Times New Roman" w:hAnsi="Times New Roman" w:cs="Times New Roman"/>
      <w:color w:val="00000A"/>
    </w:rPr>
  </w:style>
  <w:style w:type="paragraph" w:styleId="Nivel1" w:customStyle="1">
    <w:name w:val="Nivel1"/>
    <w:basedOn w:val="Ttulo1"/>
    <w:uiPriority w:val="99"/>
    <w:qFormat/>
    <w:pPr>
      <w:keepNext w:val="true"/>
      <w:keepLines/>
      <w:spacing w:lineRule="auto" w:line="276"/>
    </w:pPr>
    <w:rPr>
      <w:color w:val="000000"/>
      <w:sz w:val="20"/>
      <w:szCs w:val="20"/>
    </w:rPr>
  </w:style>
  <w:style w:type="paragraph" w:styleId="Quote">
    <w:name w:val="Quote"/>
    <w:basedOn w:val="Normal"/>
    <w:next w:val="Normal"/>
    <w:link w:val="CitaoChar"/>
    <w:uiPriority w:val="99"/>
    <w:qFormat/>
    <w:pPr>
      <w:pBdr>
        <w:top w:val="single" w:sz="4" w:space="1" w:color="00000A"/>
        <w:left w:val="single" w:sz="4" w:space="4" w:color="00000A"/>
        <w:bottom w:val="single" w:sz="4" w:space="1" w:color="00000A"/>
        <w:right w:val="single" w:sz="4" w:space="4" w:color="00000A"/>
      </w:pBdr>
      <w:spacing w:before="120" w:after="0"/>
    </w:pPr>
    <w:rPr>
      <w:i/>
      <w:iCs/>
      <w:sz w:val="20"/>
      <w:szCs w:val="20"/>
      <w:lang w:eastAsia="en-US"/>
    </w:rPr>
  </w:style>
  <w:style w:type="paragraph" w:styleId="Cabealho">
    <w:name w:val="Header"/>
    <w:basedOn w:val="Normal"/>
    <w:link w:val="CabealhoChar"/>
    <w:uiPriority w:val="99"/>
    <w:pPr>
      <w:tabs>
        <w:tab w:val="center" w:pos="4252" w:leader="none"/>
        <w:tab w:val="right" w:pos="8504" w:leader="none"/>
      </w:tabs>
    </w:pPr>
    <w:rPr/>
  </w:style>
  <w:style w:type="paragraph" w:styleId="Rodap">
    <w:name w:val="Footer"/>
    <w:basedOn w:val="Normal"/>
    <w:link w:val="RodapChar"/>
    <w:uiPriority w:val="99"/>
    <w:pPr>
      <w:tabs>
        <w:tab w:val="center" w:pos="4252" w:leader="none"/>
        <w:tab w:val="right" w:pos="8504" w:leader="none"/>
      </w:tabs>
    </w:pPr>
    <w:rPr/>
  </w:style>
  <w:style w:type="paragraph" w:styleId="PargrafodaLista1" w:customStyle="1">
    <w:name w:val="Parágrafo da Lista1"/>
    <w:basedOn w:val="Normal"/>
    <w:uiPriority w:val="99"/>
    <w:qFormat/>
    <w:pPr>
      <w:ind w:left="720" w:hanging="0"/>
      <w:jc w:val="left"/>
    </w:pPr>
    <w:rPr>
      <w:rFonts w:ascii="Ecofont_Spranq_eco_Sans" w:hAnsi="Ecofont_Spranq_eco_Sans" w:cs="Ecofont_Spranq_eco_Sans"/>
      <w:color w:val="00000A"/>
    </w:rPr>
  </w:style>
  <w:style w:type="paragraph" w:styleId="Citao1" w:customStyle="1">
    <w:name w:val="Citação1"/>
    <w:basedOn w:val="Normal"/>
    <w:next w:val="Normal"/>
    <w:uiPriority w:val="99"/>
    <w:qFormat/>
    <w:pPr>
      <w:pBdr>
        <w:top w:val="single" w:sz="4" w:space="1" w:color="00000A"/>
        <w:left w:val="single" w:sz="4" w:space="4" w:color="00000A"/>
        <w:bottom w:val="single" w:sz="4" w:space="1" w:color="00000A"/>
        <w:right w:val="single" w:sz="4" w:space="4" w:color="00000A"/>
      </w:pBdr>
      <w:spacing w:before="120" w:after="0"/>
    </w:pPr>
    <w:rPr>
      <w:rFonts w:ascii="Ecofont_Spranq_eco_Sans" w:hAnsi="Ecofont_Spranq_eco_Sans" w:cs="Ecofont_Spranq_eco_Sans"/>
      <w:i/>
      <w:iCs/>
      <w:color w:val="00000A"/>
      <w:sz w:val="20"/>
      <w:szCs w:val="20"/>
      <w:lang w:eastAsia="en-US"/>
    </w:rPr>
  </w:style>
  <w:style w:type="paragraph" w:styleId="Contedodetabela" w:customStyle="1">
    <w:name w:val="Conteúdo de tabela"/>
    <w:basedOn w:val="Normal"/>
    <w:uiPriority w:val="99"/>
    <w:qFormat/>
    <w:pPr>
      <w:widowControl w:val="false"/>
      <w:suppressLineNumbers/>
      <w:suppressAutoHyphens w:val="true"/>
      <w:jc w:val="left"/>
    </w:pPr>
    <w:rPr>
      <w:rFonts w:ascii="Times New Roman" w:hAnsi="Times New Roman" w:eastAsia="SimSun" w:cs="Times New Roman"/>
      <w:color w:val="00000A"/>
      <w:kern w:val="2"/>
      <w:lang w:eastAsia="hi-IN" w:bidi="hi-IN"/>
    </w:rPr>
  </w:style>
  <w:style w:type="paragraph" w:styleId="Sumrio1">
    <w:name w:val="TOC 1"/>
    <w:basedOn w:val="Normal"/>
    <w:next w:val="Normal"/>
    <w:autoRedefine/>
    <w:uiPriority w:val="99"/>
    <w:pPr>
      <w:tabs>
        <w:tab w:val="left" w:pos="284" w:leader="none"/>
        <w:tab w:val="right" w:pos="9000" w:leader="dot"/>
      </w:tabs>
      <w:spacing w:lineRule="auto" w:line="360"/>
    </w:pPr>
    <w:rPr>
      <w:rFonts w:ascii="Times New Roman" w:hAnsi="Times New Roman" w:eastAsia="PalatinoLinotype" w:cs="Times New Roman"/>
      <w:color w:val="00000A"/>
      <w:sz w:val="22"/>
      <w:szCs w:val="22"/>
      <w:lang w:eastAsia="en-US"/>
    </w:rPr>
  </w:style>
  <w:style w:type="paragraph" w:styleId="BalloonText">
    <w:name w:val="Balloon Text"/>
    <w:basedOn w:val="Normal"/>
    <w:link w:val="TextodebaloChar"/>
    <w:uiPriority w:val="99"/>
    <w:qFormat/>
    <w:pPr/>
    <w:rPr>
      <w:rFonts w:ascii="Segoe UI" w:hAnsi="Segoe UI" w:cs="Segoe UI"/>
      <w:sz w:val="18"/>
      <w:szCs w:val="18"/>
    </w:rPr>
  </w:style>
  <w:style w:type="paragraph" w:styleId="BodyText2">
    <w:name w:val="Body Text 2"/>
    <w:basedOn w:val="Normal"/>
    <w:link w:val="Corpodetexto2Char"/>
    <w:uiPriority w:val="99"/>
    <w:qFormat/>
    <w:pPr>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283" w:after="283"/>
    </w:pPr>
    <w:rPr>
      <w:sz w:val="22"/>
      <w:szCs w:val="22"/>
      <w:shd w:fill="00FFFF" w:val="clear"/>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numbering" w:styleId="WW8Num6">
    <w:name w:val="WW8Num6"/>
    <w:qFormat/>
  </w:style>
  <w:style w:type="numbering" w:styleId="WW8Num7">
    <w:name w:val="WW8Num7"/>
    <w:qFormat/>
  </w:style>
  <w:style w:type="numbering" w:styleId="WW8Num10">
    <w:name w:val="WW8Num10"/>
    <w:qFormat/>
  </w:style>
  <w:style w:type="numbering" w:styleId="WW8Num9">
    <w:name w:val="WW8Num9"/>
    <w:qFormat/>
  </w:style>
  <w:style w:type="numbering" w:styleId="WW8Num8">
    <w:name w:val="WW8Num8"/>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omprasgovernamentais.gov.br/" TargetMode="External"/><Relationship Id="rId3" Type="http://schemas.openxmlformats.org/officeDocument/2006/relationships/hyperlink" Target="mailto:pr.ebh@codevasf.gov.br"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1383</TotalTime>
  <Application>LibreOffice/6.0.3.2$Windows_X86_64 LibreOffice_project/8f48d515416608e3a835360314dac7e47fd0b821</Application>
  <Pages>50</Pages>
  <Words>14043</Words>
  <Characters>81470</Characters>
  <CharactersWithSpaces>95348</CharactersWithSpaces>
  <Paragraphs>982</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2019-01-21T13:34:00Z</dcterms:created>
  <dc:creator>Administrador</dc:creator>
  <dc:description/>
  <dc:language>pt-BR</dc:language>
  <cp:lastModifiedBy/>
  <cp:lastPrinted>2019-01-21T13:30:00Z</cp:lastPrinted>
  <dcterms:modified xsi:type="dcterms:W3CDTF">2019-04-10T10:18:03Z</dcterms:modified>
  <cp:revision>198</cp:revision>
  <dc:subject/>
  <dc:title>TERMO DE REFERÊNCIA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