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32" w:rsidRDefault="001D1126" w:rsidP="00532410">
      <w:pPr>
        <w:jc w:val="both"/>
      </w:pPr>
    </w:p>
    <w:p w:rsidR="00B94ED1" w:rsidRDefault="00B94ED1" w:rsidP="00532410">
      <w:pPr>
        <w:jc w:val="both"/>
      </w:pPr>
    </w:p>
    <w:p w:rsidR="00252BE5" w:rsidRPr="00DB2E17" w:rsidRDefault="00252BE5" w:rsidP="00532410">
      <w:pPr>
        <w:pStyle w:val="Ttulo1"/>
        <w:spacing w:before="0" w:after="0"/>
        <w:ind w:left="0" w:firstLine="0"/>
        <w:jc w:val="center"/>
        <w:rPr>
          <w:rFonts w:ascii="Arial" w:hAnsi="Arial" w:cs="Arial"/>
          <w:b/>
          <w:sz w:val="20"/>
        </w:rPr>
      </w:pPr>
      <w:r w:rsidRPr="00DB2E17">
        <w:rPr>
          <w:rFonts w:ascii="Arial" w:hAnsi="Arial" w:cs="Arial"/>
          <w:b/>
          <w:sz w:val="20"/>
        </w:rPr>
        <w:t>PREGÃO ELETRÔNICO</w:t>
      </w:r>
      <w:r>
        <w:rPr>
          <w:rFonts w:ascii="Arial" w:hAnsi="Arial" w:cs="Arial"/>
          <w:b/>
          <w:sz w:val="20"/>
        </w:rPr>
        <w:t xml:space="preserve"> Nº 0</w:t>
      </w:r>
      <w:r w:rsidR="00523609">
        <w:rPr>
          <w:rFonts w:ascii="Arial" w:hAnsi="Arial" w:cs="Arial"/>
          <w:b/>
          <w:sz w:val="20"/>
        </w:rPr>
        <w:t>04</w:t>
      </w:r>
      <w:r>
        <w:rPr>
          <w:rFonts w:ascii="Arial" w:hAnsi="Arial" w:cs="Arial"/>
          <w:b/>
          <w:sz w:val="20"/>
        </w:rPr>
        <w:t>/</w:t>
      </w:r>
      <w:r w:rsidR="00523609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201</w:t>
      </w:r>
      <w:r w:rsidR="00523609">
        <w:rPr>
          <w:rFonts w:ascii="Arial" w:hAnsi="Arial" w:cs="Arial"/>
          <w:b/>
          <w:sz w:val="20"/>
        </w:rPr>
        <w:t>5</w:t>
      </w:r>
    </w:p>
    <w:p w:rsidR="00252BE5" w:rsidRPr="00DB2E17" w:rsidRDefault="00252BE5" w:rsidP="00532410">
      <w:pPr>
        <w:pStyle w:val="Ttulo1"/>
        <w:numPr>
          <w:ilvl w:val="0"/>
          <w:numId w:val="0"/>
        </w:numPr>
        <w:spacing w:before="0" w:after="0"/>
        <w:jc w:val="center"/>
        <w:rPr>
          <w:rFonts w:ascii="Arial" w:hAnsi="Arial" w:cs="Arial"/>
          <w:b/>
          <w:sz w:val="20"/>
          <w:szCs w:val="28"/>
        </w:rPr>
      </w:pPr>
      <w:r w:rsidRPr="00DB2E17">
        <w:rPr>
          <w:rFonts w:ascii="Arial" w:hAnsi="Arial" w:cs="Arial"/>
          <w:b/>
          <w:sz w:val="20"/>
          <w:szCs w:val="28"/>
        </w:rPr>
        <w:t>(SISTEMA DE REGISTRO DE PREÇOS – SRP)</w:t>
      </w:r>
    </w:p>
    <w:p w:rsidR="00252BE5" w:rsidRPr="008163B1" w:rsidRDefault="00252BE5" w:rsidP="00532410">
      <w:pPr>
        <w:jc w:val="center"/>
      </w:pPr>
    </w:p>
    <w:p w:rsidR="00252BE5" w:rsidRPr="00DB2E17" w:rsidRDefault="00252BE5" w:rsidP="00532410">
      <w:pPr>
        <w:jc w:val="both"/>
        <w:rPr>
          <w:rFonts w:ascii="Arial" w:hAnsi="Arial" w:cs="Arial"/>
        </w:rPr>
      </w:pPr>
    </w:p>
    <w:p w:rsidR="00252BE5" w:rsidRPr="00DB2E17" w:rsidRDefault="00252BE5" w:rsidP="00532410">
      <w:pPr>
        <w:jc w:val="both"/>
        <w:rPr>
          <w:rFonts w:ascii="Arial" w:hAnsi="Arial" w:cs="Arial"/>
        </w:rPr>
      </w:pPr>
    </w:p>
    <w:p w:rsidR="00252BE5" w:rsidRPr="00DB2E17" w:rsidRDefault="00252BE5" w:rsidP="003269B8">
      <w:pPr>
        <w:rPr>
          <w:rFonts w:ascii="Arial" w:hAnsi="Arial" w:cs="Arial"/>
        </w:rPr>
      </w:pPr>
    </w:p>
    <w:p w:rsidR="00252BE5" w:rsidRPr="00B67A57" w:rsidRDefault="00252BE5" w:rsidP="003269B8">
      <w:pPr>
        <w:pStyle w:val="Legenda1"/>
        <w:spacing w:line="240" w:lineRule="auto"/>
        <w:ind w:left="2832" w:firstLine="708"/>
        <w:jc w:val="left"/>
        <w:rPr>
          <w:rFonts w:ascii="Arial" w:hAnsi="Arial" w:cs="Arial"/>
          <w:bCs/>
          <w:spacing w:val="0"/>
          <w:sz w:val="22"/>
          <w:szCs w:val="22"/>
          <w:lang w:eastAsia="pt-BR"/>
        </w:rPr>
      </w:pPr>
      <w:r w:rsidRPr="00B67A57">
        <w:rPr>
          <w:rFonts w:ascii="Arial" w:hAnsi="Arial" w:cs="Arial"/>
          <w:bCs/>
          <w:spacing w:val="0"/>
          <w:sz w:val="22"/>
          <w:szCs w:val="22"/>
          <w:lang w:eastAsia="pt-BR"/>
        </w:rPr>
        <w:t>ANEXO III DO EDITAL</w:t>
      </w:r>
    </w:p>
    <w:p w:rsidR="00252BE5" w:rsidRPr="00B67A57" w:rsidRDefault="00252BE5" w:rsidP="003269B8">
      <w:pPr>
        <w:pStyle w:val="Legenda1"/>
        <w:spacing w:line="240" w:lineRule="auto"/>
        <w:rPr>
          <w:rFonts w:ascii="Arial" w:hAnsi="Arial" w:cs="Arial"/>
          <w:bCs/>
          <w:spacing w:val="0"/>
          <w:sz w:val="22"/>
          <w:szCs w:val="22"/>
          <w:lang w:eastAsia="pt-BR"/>
        </w:rPr>
      </w:pPr>
    </w:p>
    <w:p w:rsidR="00252BE5" w:rsidRDefault="003269B8" w:rsidP="003269B8">
      <w:pPr>
        <w:pStyle w:val="Legenda1"/>
        <w:spacing w:line="240" w:lineRule="auto"/>
        <w:rPr>
          <w:rFonts w:ascii="Arial" w:hAnsi="Arial" w:cs="Arial"/>
          <w:bCs/>
          <w:spacing w:val="0"/>
          <w:sz w:val="22"/>
          <w:szCs w:val="22"/>
          <w:lang w:eastAsia="pt-BR"/>
        </w:rPr>
      </w:pPr>
      <w:r>
        <w:rPr>
          <w:rFonts w:ascii="Arial" w:hAnsi="Arial" w:cs="Arial"/>
          <w:bCs/>
          <w:spacing w:val="0"/>
          <w:sz w:val="22"/>
          <w:szCs w:val="22"/>
          <w:lang w:eastAsia="pt-BR"/>
        </w:rPr>
        <w:t xml:space="preserve">             </w:t>
      </w:r>
      <w:r w:rsidR="00252BE5" w:rsidRPr="00B67A57">
        <w:rPr>
          <w:rFonts w:ascii="Arial" w:hAnsi="Arial" w:cs="Arial"/>
          <w:bCs/>
          <w:spacing w:val="0"/>
          <w:sz w:val="22"/>
          <w:szCs w:val="22"/>
          <w:lang w:eastAsia="pt-BR"/>
        </w:rPr>
        <w:t>MINUTA DA ATA DE REGISTRO DE PREÇOS</w:t>
      </w:r>
    </w:p>
    <w:p w:rsidR="00252BE5" w:rsidRPr="00B67A57" w:rsidRDefault="00252BE5" w:rsidP="003269B8">
      <w:pPr>
        <w:jc w:val="center"/>
      </w:pPr>
    </w:p>
    <w:p w:rsidR="00252BE5" w:rsidRPr="00B67A57" w:rsidRDefault="00252BE5" w:rsidP="003269B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3269B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 xml:space="preserve">PREGÃO ELETRÔNICO POR REGISTRO DE PREÇOS Nº </w:t>
      </w:r>
      <w:r w:rsidR="00D11D8F">
        <w:rPr>
          <w:rFonts w:ascii="Arial" w:hAnsi="Arial" w:cs="Arial"/>
          <w:b/>
          <w:bCs/>
          <w:sz w:val="22"/>
          <w:szCs w:val="22"/>
        </w:rPr>
        <w:t>004</w:t>
      </w:r>
      <w:r w:rsidRPr="00B67A57">
        <w:rPr>
          <w:rFonts w:ascii="Arial" w:hAnsi="Arial" w:cs="Arial"/>
          <w:b/>
          <w:bCs/>
          <w:sz w:val="22"/>
          <w:szCs w:val="22"/>
        </w:rPr>
        <w:t>/201</w:t>
      </w:r>
      <w:r w:rsidR="00523609">
        <w:rPr>
          <w:rFonts w:ascii="Arial" w:hAnsi="Arial" w:cs="Arial"/>
          <w:b/>
          <w:bCs/>
          <w:sz w:val="22"/>
          <w:szCs w:val="22"/>
        </w:rPr>
        <w:t>5</w:t>
      </w:r>
    </w:p>
    <w:p w:rsidR="00252BE5" w:rsidRPr="00B67A57" w:rsidRDefault="00252BE5" w:rsidP="003269B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3269B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 xml:space="preserve">PROCESSO Nº </w:t>
      </w:r>
      <w:r w:rsidR="003269B8" w:rsidRPr="003269B8">
        <w:rPr>
          <w:rFonts w:ascii="Arial" w:hAnsi="Arial" w:cs="Arial"/>
          <w:b/>
          <w:bCs/>
          <w:sz w:val="22"/>
          <w:szCs w:val="22"/>
        </w:rPr>
        <w:t>59530.000311/2015-18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 xml:space="preserve">Aos ___ dias de _____ do ano de _____, a COMPANHIA DE DESENVOLVIMENTO DOS VALES DO SÃO FRANCISCO E DO PARNAÍBA - CODEVASF, empresa pública federal criada pela Lei nº 6.088, de 16/07/1974, com atual denominação social por força da Lei nº 9.954, de 06 de janeiro de 2000 e do seu Estatuto baixado pelo Decreto nº 3.604, de 20 de setembro de 2000, com sede no Setor de Grandes Áreas Norte - SGA/Norte, Quadra 601, Conjunto I, Brasília-DF, inscrito no CNPJ/MF sob o nº 00.399.857/0001-26, neste </w:t>
      </w:r>
      <w:proofErr w:type="gramStart"/>
      <w:r w:rsidRPr="00B67A57">
        <w:rPr>
          <w:rFonts w:ascii="Arial" w:hAnsi="Arial" w:cs="Arial"/>
          <w:sz w:val="22"/>
          <w:szCs w:val="22"/>
        </w:rPr>
        <w:t>ato representada</w:t>
      </w:r>
      <w:proofErr w:type="gramEnd"/>
      <w:r w:rsidRPr="00B67A57">
        <w:rPr>
          <w:rFonts w:ascii="Arial" w:hAnsi="Arial" w:cs="Arial"/>
          <w:sz w:val="22"/>
          <w:szCs w:val="22"/>
        </w:rPr>
        <w:t xml:space="preserve"> pelo Sr.</w:t>
      </w:r>
      <w:r w:rsidR="003269B8">
        <w:rPr>
          <w:rFonts w:ascii="Arial" w:hAnsi="Arial" w:cs="Arial"/>
          <w:sz w:val="22"/>
          <w:szCs w:val="22"/>
        </w:rPr>
        <w:t xml:space="preserve"> JOÃO BOSCO LACERDA DE ALENCAR</w:t>
      </w:r>
      <w:r w:rsidRPr="00B67A57">
        <w:rPr>
          <w:rFonts w:ascii="Arial" w:hAnsi="Arial" w:cs="Arial"/>
          <w:sz w:val="22"/>
          <w:szCs w:val="22"/>
        </w:rPr>
        <w:t xml:space="preserve">, Superintendente Regional da </w:t>
      </w:r>
      <w:proofErr w:type="spellStart"/>
      <w:r w:rsidRPr="003269B8">
        <w:rPr>
          <w:rFonts w:ascii="Arial" w:hAnsi="Arial" w:cs="Arial"/>
          <w:sz w:val="22"/>
          <w:szCs w:val="22"/>
        </w:rPr>
        <w:t>Codevasf</w:t>
      </w:r>
      <w:proofErr w:type="spellEnd"/>
      <w:r w:rsidRPr="003269B8">
        <w:rPr>
          <w:rFonts w:ascii="Arial" w:hAnsi="Arial" w:cs="Arial"/>
          <w:sz w:val="22"/>
          <w:szCs w:val="22"/>
        </w:rPr>
        <w:t xml:space="preserve"> – 3ª SR</w:t>
      </w:r>
      <w:r w:rsidRPr="00B67A57">
        <w:rPr>
          <w:rFonts w:ascii="Arial" w:hAnsi="Arial" w:cs="Arial"/>
          <w:sz w:val="22"/>
          <w:szCs w:val="22"/>
        </w:rPr>
        <w:t xml:space="preserve">, brasileiro, casado, portador da Carteira de Identidade nº ________, expedida pela ____, e do CPF nº _______________, residente e domiciliada em _______________, nomeado pela Decisão nº ____, de __ </w:t>
      </w:r>
      <w:proofErr w:type="spellStart"/>
      <w:r w:rsidRPr="00B67A57">
        <w:rPr>
          <w:rFonts w:ascii="Arial" w:hAnsi="Arial" w:cs="Arial"/>
          <w:sz w:val="22"/>
          <w:szCs w:val="22"/>
        </w:rPr>
        <w:t>de</w:t>
      </w:r>
      <w:proofErr w:type="spellEnd"/>
      <w:r w:rsidRPr="00B67A57">
        <w:rPr>
          <w:rFonts w:ascii="Arial" w:hAnsi="Arial" w:cs="Arial"/>
          <w:sz w:val="22"/>
          <w:szCs w:val="22"/>
        </w:rPr>
        <w:t xml:space="preserve"> _______ </w:t>
      </w:r>
      <w:proofErr w:type="spellStart"/>
      <w:r w:rsidRPr="00B67A57">
        <w:rPr>
          <w:rFonts w:ascii="Arial" w:hAnsi="Arial" w:cs="Arial"/>
          <w:sz w:val="22"/>
          <w:szCs w:val="22"/>
        </w:rPr>
        <w:t>de</w:t>
      </w:r>
      <w:proofErr w:type="spellEnd"/>
      <w:r w:rsidRPr="00B67A57">
        <w:rPr>
          <w:rFonts w:ascii="Arial" w:hAnsi="Arial" w:cs="Arial"/>
          <w:sz w:val="22"/>
          <w:szCs w:val="22"/>
        </w:rPr>
        <w:t xml:space="preserve"> 20</w:t>
      </w:r>
      <w:r w:rsidR="003269B8">
        <w:rPr>
          <w:rFonts w:ascii="Arial" w:hAnsi="Arial" w:cs="Arial"/>
          <w:sz w:val="22"/>
          <w:szCs w:val="22"/>
        </w:rPr>
        <w:t>__</w:t>
      </w:r>
      <w:r w:rsidRPr="00B67A57">
        <w:rPr>
          <w:rFonts w:ascii="Arial" w:hAnsi="Arial" w:cs="Arial"/>
          <w:sz w:val="22"/>
          <w:szCs w:val="22"/>
        </w:rPr>
        <w:t xml:space="preserve">, nos termos e de acordo com a Lei nº 10.520/02, Decreto nº 5.450/05, Decreto nº 3.931/01, Lei Complementar nº 123/06, Decreto nº 6.204/07, Lei nº 8.666/93, e das demais normas legais aplicáveis, em face da classificação da proposta apresentada no </w:t>
      </w:r>
      <w:r w:rsidRPr="003269B8">
        <w:rPr>
          <w:rFonts w:ascii="Arial" w:hAnsi="Arial" w:cs="Arial"/>
          <w:b/>
          <w:sz w:val="22"/>
          <w:szCs w:val="22"/>
        </w:rPr>
        <w:t xml:space="preserve">Pregão Eletrônico por Registro de Preços nº </w:t>
      </w:r>
      <w:r w:rsidR="00FF65C7">
        <w:rPr>
          <w:rFonts w:ascii="Arial" w:hAnsi="Arial" w:cs="Arial"/>
          <w:b/>
          <w:sz w:val="22"/>
          <w:szCs w:val="22"/>
        </w:rPr>
        <w:t>004</w:t>
      </w:r>
      <w:r w:rsidRPr="003269B8">
        <w:rPr>
          <w:rFonts w:ascii="Arial" w:hAnsi="Arial" w:cs="Arial"/>
          <w:b/>
          <w:sz w:val="22"/>
          <w:szCs w:val="22"/>
        </w:rPr>
        <w:t>/201</w:t>
      </w:r>
      <w:r w:rsidR="003269B8" w:rsidRPr="003269B8">
        <w:rPr>
          <w:rFonts w:ascii="Arial" w:hAnsi="Arial" w:cs="Arial"/>
          <w:b/>
          <w:sz w:val="22"/>
          <w:szCs w:val="22"/>
        </w:rPr>
        <w:t>5</w:t>
      </w:r>
      <w:r w:rsidRPr="00B67A57">
        <w:rPr>
          <w:rFonts w:ascii="Arial" w:hAnsi="Arial" w:cs="Arial"/>
          <w:sz w:val="22"/>
          <w:szCs w:val="22"/>
        </w:rPr>
        <w:t>, referente à c</w:t>
      </w:r>
      <w:r w:rsidRPr="00B67A57">
        <w:rPr>
          <w:rFonts w:ascii="Arial" w:hAnsi="Arial" w:cs="Arial"/>
          <w:color w:val="000000"/>
          <w:sz w:val="22"/>
          <w:szCs w:val="22"/>
        </w:rPr>
        <w:t>onstituição de Sistema de Registro de Preços - SRP objetivando o</w:t>
      </w:r>
      <w:r w:rsidRPr="00B67A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A3756F">
        <w:rPr>
          <w:rFonts w:ascii="Arial" w:hAnsi="Arial" w:cs="Arial"/>
          <w:bCs/>
          <w:color w:val="000000"/>
          <w:sz w:val="22"/>
          <w:szCs w:val="22"/>
        </w:rPr>
        <w:t>f</w:t>
      </w:r>
      <w:r w:rsidR="00A3756F" w:rsidRPr="00A3756F">
        <w:rPr>
          <w:rFonts w:ascii="Arial" w:hAnsi="Arial" w:cs="Arial"/>
          <w:bCs/>
          <w:color w:val="000000"/>
          <w:sz w:val="22"/>
          <w:szCs w:val="22"/>
        </w:rPr>
        <w:t xml:space="preserve">ornecimento, transporte, carga e descarga de ração para peixes, para o Centro Integrado de Recursos Pesqueiros e Aquicultura de Bebedouro, localizado na cidade de Petrolina, e para os municípios, do Estado de Pernambuco, que fazem parte da jurisdição da 3ª Superintendência Regional da </w:t>
      </w:r>
      <w:proofErr w:type="spellStart"/>
      <w:r w:rsidR="00A3756F" w:rsidRPr="00A3756F">
        <w:rPr>
          <w:rFonts w:ascii="Arial" w:hAnsi="Arial" w:cs="Arial"/>
          <w:bCs/>
          <w:color w:val="000000"/>
          <w:sz w:val="22"/>
          <w:szCs w:val="22"/>
        </w:rPr>
        <w:t>Codevasf</w:t>
      </w:r>
      <w:proofErr w:type="spellEnd"/>
      <w:r w:rsidRPr="00B67A57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Pr="00B67A57">
        <w:rPr>
          <w:rFonts w:ascii="Arial" w:hAnsi="Arial" w:cs="Arial"/>
          <w:sz w:val="22"/>
          <w:szCs w:val="22"/>
        </w:rPr>
        <w:t xml:space="preserve">cujo resultado foi publicado no Diário Oficial da União e homologado pela Diretoria Executiva da </w:t>
      </w:r>
      <w:proofErr w:type="spellStart"/>
      <w:r w:rsidRPr="00B67A57">
        <w:rPr>
          <w:rFonts w:ascii="Arial" w:hAnsi="Arial" w:cs="Arial"/>
          <w:b/>
          <w:sz w:val="22"/>
          <w:szCs w:val="22"/>
        </w:rPr>
        <w:t>Codevasf</w:t>
      </w:r>
      <w:proofErr w:type="spellEnd"/>
      <w:r w:rsidRPr="00B67A57">
        <w:rPr>
          <w:rFonts w:ascii="Arial" w:hAnsi="Arial" w:cs="Arial"/>
          <w:sz w:val="22"/>
          <w:szCs w:val="22"/>
        </w:rPr>
        <w:t>, constante às fls. _____ do Processo nº ___________________-__, RESOLVE registrar os preços da seguinte empresa detentora da Ata: ___________________________, CNPJ nº _____________, com sede no ____________________, telefone nº ___________, fax nº______________, representada por seu ________, Sr. _________________________, (nacionalidade) ___________, (estado civil) ______, residente e domiciliado em _____________________________, RG nº ____________, CPF nº ________________________, atendendo às condições previstas no instrumento convocatório e às constantes desta ATA DE REGISTRO DE PREÇOS, em conformidade com os itens a seguir elencados, com suas características e respectivas quantidades, mediante as condições seguintes: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88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4124"/>
        <w:gridCol w:w="1287"/>
        <w:gridCol w:w="1159"/>
        <w:gridCol w:w="1297"/>
      </w:tblGrid>
      <w:tr w:rsidR="003269B8" w:rsidRPr="00DA2B0A" w:rsidTr="003269B8">
        <w:trPr>
          <w:trHeight w:val="146"/>
          <w:tblHeader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B8" w:rsidRPr="00DA2B0A" w:rsidRDefault="003269B8" w:rsidP="00732C62">
            <w:pPr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  <w:r w:rsidRPr="00DA2B0A">
              <w:rPr>
                <w:rFonts w:ascii="Arial Narrow" w:hAnsi="Arial Narrow" w:cs="Arial Narrow"/>
                <w:b/>
              </w:rPr>
              <w:lastRenderedPageBreak/>
              <w:t>ITEM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B8" w:rsidRPr="00DA2B0A" w:rsidRDefault="003269B8" w:rsidP="00732C62">
            <w:pPr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  <w:r w:rsidRPr="00DA2B0A">
              <w:rPr>
                <w:rFonts w:ascii="Arial Narrow" w:hAnsi="Arial Narrow" w:cs="Arial Narrow"/>
                <w:b/>
              </w:rPr>
              <w:t>DESCRIÇÃO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B8" w:rsidRPr="00DA2B0A" w:rsidRDefault="003269B8" w:rsidP="00732C62">
            <w:pPr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  <w:r w:rsidRPr="00DA2B0A">
              <w:rPr>
                <w:rFonts w:ascii="Arial Narrow" w:hAnsi="Arial Narrow" w:cs="Arial Narrow"/>
                <w:b/>
              </w:rPr>
              <w:t>QUANTIDADE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9B8" w:rsidRPr="00DA2B0A" w:rsidRDefault="003269B8" w:rsidP="00732C62">
            <w:pPr>
              <w:jc w:val="center"/>
              <w:rPr>
                <w:rFonts w:ascii="Arial Narrow" w:hAnsi="Arial Narrow" w:cs="Arial Narrow"/>
                <w:b/>
              </w:rPr>
            </w:pPr>
            <w:r w:rsidRPr="00DA2B0A">
              <w:rPr>
                <w:rFonts w:ascii="Arial Narrow" w:hAnsi="Arial Narrow" w:cs="Arial Narrow"/>
                <w:b/>
              </w:rPr>
              <w:t>PREÇO UNIT.</w:t>
            </w:r>
          </w:p>
          <w:p w:rsidR="003269B8" w:rsidRPr="00DA2B0A" w:rsidRDefault="003269B8" w:rsidP="00732C62">
            <w:pPr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  <w:r w:rsidRPr="00DA2B0A">
              <w:rPr>
                <w:rFonts w:ascii="Arial Narrow" w:hAnsi="Arial Narrow" w:cs="Arial Narrow"/>
                <w:b/>
              </w:rPr>
              <w:t>(EM R$)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9B8" w:rsidRPr="00DA2B0A" w:rsidRDefault="003269B8" w:rsidP="00732C62">
            <w:pPr>
              <w:jc w:val="center"/>
              <w:rPr>
                <w:rFonts w:ascii="Arial Narrow" w:hAnsi="Arial Narrow" w:cs="Arial Narrow"/>
                <w:b/>
              </w:rPr>
            </w:pPr>
            <w:r w:rsidRPr="00DA2B0A">
              <w:rPr>
                <w:rFonts w:ascii="Arial Narrow" w:hAnsi="Arial Narrow" w:cs="Arial Narrow"/>
                <w:b/>
              </w:rPr>
              <w:t>PREÇO TOTAL</w:t>
            </w:r>
          </w:p>
          <w:p w:rsidR="003269B8" w:rsidRPr="00DA2B0A" w:rsidRDefault="003269B8" w:rsidP="00732C6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DA2B0A">
              <w:rPr>
                <w:rFonts w:ascii="Arial Narrow" w:hAnsi="Arial Narrow" w:cs="Arial Narrow"/>
                <w:b/>
              </w:rPr>
              <w:t>(EM R$)</w:t>
            </w:r>
          </w:p>
        </w:tc>
      </w:tr>
      <w:tr w:rsidR="003269B8" w:rsidRPr="00DA2B0A" w:rsidTr="003269B8">
        <w:trPr>
          <w:trHeight w:val="14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01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12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120"/>
              <w:jc w:val="center"/>
              <w:rPr>
                <w:rFonts w:ascii="Arial Narrow" w:hAnsi="Arial Narrow" w:cs="Arial Narrow"/>
              </w:rPr>
            </w:pPr>
          </w:p>
        </w:tc>
      </w:tr>
      <w:tr w:rsidR="003269B8" w:rsidRPr="00DA2B0A" w:rsidTr="003269B8">
        <w:trPr>
          <w:trHeight w:val="14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02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120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120"/>
              <w:jc w:val="center"/>
              <w:rPr>
                <w:rFonts w:ascii="Arial Narrow" w:hAnsi="Arial Narrow" w:cs="Arial Narrow"/>
              </w:rPr>
            </w:pPr>
          </w:p>
        </w:tc>
      </w:tr>
      <w:tr w:rsidR="003269B8" w:rsidRPr="00DA2B0A" w:rsidTr="003269B8">
        <w:trPr>
          <w:trHeight w:val="14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03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</w:tr>
      <w:tr w:rsidR="003269B8" w:rsidRPr="00DA2B0A" w:rsidTr="003269B8">
        <w:trPr>
          <w:trHeight w:val="14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04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</w:tr>
      <w:tr w:rsidR="003269B8" w:rsidRPr="00DA2B0A" w:rsidTr="003269B8">
        <w:trPr>
          <w:trHeight w:val="14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05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</w:tr>
      <w:tr w:rsidR="003269B8" w:rsidRPr="00DA2B0A" w:rsidTr="003269B8">
        <w:trPr>
          <w:trHeight w:val="14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06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</w:tr>
      <w:tr w:rsidR="003269B8" w:rsidRPr="00DA2B0A" w:rsidTr="003269B8">
        <w:trPr>
          <w:trHeight w:val="41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A2B0A">
              <w:rPr>
                <w:rFonts w:ascii="Arial" w:hAnsi="Arial" w:cs="Arial"/>
              </w:rPr>
              <w:t>07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pacing w:before="60" w:after="60"/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NormalWeb"/>
              <w:snapToGrid w:val="0"/>
              <w:spacing w:before="120" w:after="0"/>
              <w:jc w:val="center"/>
              <w:rPr>
                <w:rFonts w:ascii="Arial Narrow" w:hAnsi="Arial Narrow" w:cs="Arial Narrow"/>
                <w:szCs w:val="20"/>
              </w:rPr>
            </w:pPr>
          </w:p>
        </w:tc>
      </w:tr>
      <w:tr w:rsidR="003269B8" w:rsidRPr="00DA2B0A" w:rsidTr="003269B8">
        <w:trPr>
          <w:trHeight w:val="351"/>
        </w:trPr>
        <w:tc>
          <w:tcPr>
            <w:tcW w:w="5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pStyle w:val="Ttulo8"/>
              <w:spacing w:before="60" w:after="60"/>
              <w:rPr>
                <w:rFonts w:ascii="Arial Narrow" w:hAnsi="Arial Narrow" w:cs="Arial Narrow"/>
              </w:rPr>
            </w:pPr>
            <w:r w:rsidRPr="00DA2B0A">
              <w:rPr>
                <w:rFonts w:ascii="Arial Narrow" w:hAnsi="Arial Narrow" w:cs="Arial Narrow"/>
              </w:rPr>
              <w:t>TOTAL GERAL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9B8" w:rsidRPr="00DA2B0A" w:rsidRDefault="003269B8" w:rsidP="00732C62">
            <w:pPr>
              <w:snapToGrid w:val="0"/>
              <w:spacing w:before="60" w:after="60"/>
              <w:jc w:val="center"/>
              <w:rPr>
                <w:rFonts w:ascii="Arial Narrow" w:hAnsi="Arial Narrow" w:cs="Arial Narrow"/>
                <w:b/>
              </w:rPr>
            </w:pPr>
          </w:p>
        </w:tc>
      </w:tr>
    </w:tbl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>1 – DA VIGÊNCIA DA ATA DE REGISTRO DE PREÇOS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B67A57">
        <w:rPr>
          <w:rFonts w:ascii="Arial" w:hAnsi="Arial" w:cs="Arial"/>
          <w:sz w:val="22"/>
          <w:szCs w:val="22"/>
        </w:rPr>
        <w:t>A presente</w:t>
      </w:r>
      <w:proofErr w:type="gramEnd"/>
      <w:r w:rsidRPr="00B67A57">
        <w:rPr>
          <w:rFonts w:ascii="Arial" w:hAnsi="Arial" w:cs="Arial"/>
          <w:sz w:val="22"/>
          <w:szCs w:val="22"/>
        </w:rPr>
        <w:t xml:space="preserve"> Ata de Registro de Preços terá a validade de 12 (doze) meses, a contar da data de sua assinatura.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 xml:space="preserve">A existência de preços registrados não obriga a </w:t>
      </w:r>
      <w:proofErr w:type="spellStart"/>
      <w:r w:rsidRPr="00B67A57">
        <w:rPr>
          <w:rFonts w:ascii="Arial" w:hAnsi="Arial" w:cs="Arial"/>
          <w:b/>
          <w:sz w:val="22"/>
          <w:szCs w:val="22"/>
        </w:rPr>
        <w:t>Codevasf</w:t>
      </w:r>
      <w:proofErr w:type="spellEnd"/>
      <w:r w:rsidRPr="00B67A57">
        <w:rPr>
          <w:rFonts w:ascii="Arial" w:hAnsi="Arial" w:cs="Arial"/>
          <w:sz w:val="22"/>
          <w:szCs w:val="22"/>
        </w:rPr>
        <w:t xml:space="preserve"> a firmar as contratações que deles poderão advir, facultando-se a realização de licitação específica para o objeto pretendido, sendo assegurado ao detentor do registro preferência na aquisição dos materiais ou equipamentos em igualdade de condições.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>2 – DA UTILIZAÇÃO DA ATA DE REGISTRO DE PREÇOS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E0ABB" w:rsidRPr="00FE0ABB" w:rsidRDefault="00FE0ABB" w:rsidP="00FE0ABB">
      <w:pPr>
        <w:jc w:val="both"/>
        <w:rPr>
          <w:rFonts w:ascii="Arial" w:hAnsi="Arial" w:cs="Arial"/>
          <w:sz w:val="22"/>
          <w:szCs w:val="22"/>
        </w:rPr>
      </w:pPr>
      <w:r w:rsidRPr="00FE0ABB">
        <w:rPr>
          <w:rFonts w:ascii="Arial" w:hAnsi="Arial" w:cs="Arial"/>
          <w:sz w:val="22"/>
          <w:szCs w:val="22"/>
        </w:rPr>
        <w:t>Admitir-se-á aos órgãos não participantes adesão ao Sistema de Registro de Preços – SRP, resultante</w:t>
      </w:r>
      <w:r w:rsidR="004C56DB">
        <w:rPr>
          <w:rFonts w:ascii="Arial" w:hAnsi="Arial" w:cs="Arial"/>
          <w:sz w:val="22"/>
          <w:szCs w:val="22"/>
        </w:rPr>
        <w:t xml:space="preserve"> </w:t>
      </w:r>
      <w:r w:rsidRPr="00FE0ABB">
        <w:rPr>
          <w:rFonts w:ascii="Arial" w:hAnsi="Arial" w:cs="Arial"/>
          <w:sz w:val="22"/>
          <w:szCs w:val="22"/>
        </w:rPr>
        <w:t>desta licitação, até 100% (cem por cento) dos quantitativos dos itens que compõem as Planilhas I Anexo I, integrante deste Edital, não excedendo, na totalidade, ao quíntuplo do quantitativo de cada</w:t>
      </w:r>
      <w:r>
        <w:rPr>
          <w:rFonts w:ascii="Arial" w:hAnsi="Arial" w:cs="Arial"/>
          <w:sz w:val="22"/>
          <w:szCs w:val="22"/>
        </w:rPr>
        <w:t xml:space="preserve"> </w:t>
      </w:r>
      <w:r w:rsidRPr="00FE0ABB">
        <w:rPr>
          <w:rFonts w:ascii="Arial" w:hAnsi="Arial" w:cs="Arial"/>
          <w:sz w:val="22"/>
          <w:szCs w:val="22"/>
        </w:rPr>
        <w:t>item registrado na Ata de Registro de Preços para o órgão gerenciador (</w:t>
      </w:r>
      <w:proofErr w:type="spellStart"/>
      <w:r w:rsidRPr="00FE0ABB">
        <w:rPr>
          <w:rFonts w:ascii="Arial" w:hAnsi="Arial" w:cs="Arial"/>
          <w:sz w:val="22"/>
          <w:szCs w:val="22"/>
        </w:rPr>
        <w:t>Codevasf</w:t>
      </w:r>
      <w:proofErr w:type="spellEnd"/>
      <w:r w:rsidRPr="00FE0ABB">
        <w:rPr>
          <w:rFonts w:ascii="Arial" w:hAnsi="Arial" w:cs="Arial"/>
          <w:sz w:val="22"/>
          <w:szCs w:val="22"/>
        </w:rPr>
        <w:t>) e órgãos participantes,</w:t>
      </w:r>
      <w:r>
        <w:rPr>
          <w:rFonts w:ascii="Arial" w:hAnsi="Arial" w:cs="Arial"/>
          <w:sz w:val="22"/>
          <w:szCs w:val="22"/>
        </w:rPr>
        <w:t xml:space="preserve"> </w:t>
      </w:r>
      <w:r w:rsidRPr="00FE0ABB">
        <w:rPr>
          <w:rFonts w:ascii="Arial" w:hAnsi="Arial" w:cs="Arial"/>
          <w:sz w:val="22"/>
          <w:szCs w:val="22"/>
        </w:rPr>
        <w:t xml:space="preserve">independente do número de órgãos não participantes que aderirem, observadas as demais </w:t>
      </w:r>
      <w:proofErr w:type="gramStart"/>
      <w:r w:rsidRPr="00FE0ABB">
        <w:rPr>
          <w:rFonts w:ascii="Arial" w:hAnsi="Arial" w:cs="Arial"/>
          <w:sz w:val="22"/>
          <w:szCs w:val="22"/>
        </w:rPr>
        <w:t>condições</w:t>
      </w:r>
      <w:proofErr w:type="gramEnd"/>
    </w:p>
    <w:p w:rsidR="00FE0ABB" w:rsidRPr="00FE0ABB" w:rsidRDefault="00FE0ABB" w:rsidP="00FE0ABB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E0ABB">
        <w:rPr>
          <w:rFonts w:ascii="Arial" w:hAnsi="Arial" w:cs="Arial"/>
          <w:sz w:val="22"/>
          <w:szCs w:val="22"/>
        </w:rPr>
        <w:t>previstas</w:t>
      </w:r>
      <w:proofErr w:type="gramEnd"/>
      <w:r w:rsidRPr="00FE0ABB">
        <w:rPr>
          <w:rFonts w:ascii="Arial" w:hAnsi="Arial" w:cs="Arial"/>
          <w:sz w:val="22"/>
          <w:szCs w:val="22"/>
        </w:rPr>
        <w:t xml:space="preserve"> no art. 22 do Decreto nº 7.892/2013.</w:t>
      </w:r>
    </w:p>
    <w:p w:rsidR="00252BE5" w:rsidRPr="00B67A57" w:rsidRDefault="00FE0ABB" w:rsidP="00FE0ABB">
      <w:pPr>
        <w:jc w:val="both"/>
        <w:rPr>
          <w:rFonts w:ascii="Arial" w:hAnsi="Arial" w:cs="Arial"/>
          <w:sz w:val="22"/>
          <w:szCs w:val="22"/>
        </w:rPr>
      </w:pPr>
      <w:r w:rsidRPr="00FE0ABB">
        <w:rPr>
          <w:rFonts w:ascii="Arial" w:hAnsi="Arial" w:cs="Arial"/>
          <w:sz w:val="22"/>
          <w:szCs w:val="22"/>
        </w:rPr>
        <w:t>Caberá ao detentor da Ata de Registro de Preços, observadas as condições nela estabelecidas, optar</w:t>
      </w:r>
      <w:r>
        <w:rPr>
          <w:rFonts w:ascii="Arial" w:hAnsi="Arial" w:cs="Arial"/>
          <w:sz w:val="22"/>
          <w:szCs w:val="22"/>
        </w:rPr>
        <w:t xml:space="preserve"> </w:t>
      </w:r>
      <w:r w:rsidRPr="00FE0ABB">
        <w:rPr>
          <w:rFonts w:ascii="Arial" w:hAnsi="Arial" w:cs="Arial"/>
          <w:sz w:val="22"/>
          <w:szCs w:val="22"/>
        </w:rPr>
        <w:t>pela aceitação ou não do fornecimento dos materiais e equipamentos desde que esta não prejudique as</w:t>
      </w:r>
      <w:r>
        <w:rPr>
          <w:rFonts w:ascii="Arial" w:hAnsi="Arial" w:cs="Arial"/>
          <w:sz w:val="22"/>
          <w:szCs w:val="22"/>
        </w:rPr>
        <w:t xml:space="preserve"> </w:t>
      </w:r>
      <w:r w:rsidRPr="00FE0ABB">
        <w:rPr>
          <w:rFonts w:ascii="Arial" w:hAnsi="Arial" w:cs="Arial"/>
          <w:sz w:val="22"/>
          <w:szCs w:val="22"/>
        </w:rPr>
        <w:t>obrigações anteriormente assumidas.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4C56DB" w:rsidRDefault="00252BE5" w:rsidP="004C56D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 xml:space="preserve">3 – </w:t>
      </w:r>
      <w:r w:rsidR="004C56DB" w:rsidRPr="004C56DB">
        <w:rPr>
          <w:rFonts w:ascii="Arial" w:hAnsi="Arial" w:cs="Arial"/>
          <w:b/>
          <w:bCs/>
          <w:sz w:val="22"/>
          <w:szCs w:val="22"/>
        </w:rPr>
        <w:t>DA REALIZAÇÃO DOS FORNECIMENTOS</w:t>
      </w:r>
    </w:p>
    <w:p w:rsidR="004C56DB" w:rsidRPr="004C56DB" w:rsidRDefault="004C56DB" w:rsidP="004C56D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4C56DB" w:rsidRDefault="004C56DB" w:rsidP="004C56DB">
      <w:pPr>
        <w:jc w:val="both"/>
        <w:rPr>
          <w:rFonts w:ascii="Arial" w:hAnsi="Arial" w:cs="Arial"/>
          <w:bCs/>
          <w:sz w:val="22"/>
          <w:szCs w:val="22"/>
        </w:rPr>
      </w:pPr>
      <w:r w:rsidRPr="004C56DB">
        <w:rPr>
          <w:rFonts w:ascii="Arial" w:hAnsi="Arial" w:cs="Arial"/>
          <w:bCs/>
          <w:sz w:val="22"/>
          <w:szCs w:val="22"/>
        </w:rPr>
        <w:t>Durante a realização dos fornecimentos contratados deverá ser observado o disposto no Edital de Pregão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C56DB">
        <w:rPr>
          <w:rFonts w:ascii="Arial" w:hAnsi="Arial" w:cs="Arial"/>
          <w:bCs/>
          <w:sz w:val="22"/>
          <w:szCs w:val="22"/>
        </w:rPr>
        <w:t>Eletrônico po</w:t>
      </w:r>
      <w:r w:rsidR="00654673">
        <w:rPr>
          <w:rFonts w:ascii="Arial" w:hAnsi="Arial" w:cs="Arial"/>
          <w:bCs/>
          <w:sz w:val="22"/>
          <w:szCs w:val="22"/>
        </w:rPr>
        <w:t>r Registro de Preços nº ___/2015</w:t>
      </w:r>
      <w:r w:rsidRPr="004C56DB">
        <w:rPr>
          <w:rFonts w:ascii="Arial" w:hAnsi="Arial" w:cs="Arial"/>
          <w:bCs/>
          <w:sz w:val="22"/>
          <w:szCs w:val="22"/>
        </w:rPr>
        <w:t xml:space="preserve"> e seus anexos</w:t>
      </w:r>
      <w:r w:rsidR="00252BE5" w:rsidRPr="004C56DB">
        <w:rPr>
          <w:rFonts w:ascii="Arial" w:hAnsi="Arial" w:cs="Arial"/>
          <w:bCs/>
          <w:sz w:val="22"/>
          <w:szCs w:val="22"/>
        </w:rPr>
        <w:t xml:space="preserve">. </w:t>
      </w:r>
    </w:p>
    <w:p w:rsidR="00252BE5" w:rsidRPr="004C56DB" w:rsidRDefault="00252BE5" w:rsidP="00532410">
      <w:pPr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 xml:space="preserve">4 </w:t>
      </w:r>
      <w:r w:rsidR="004C56DB">
        <w:rPr>
          <w:rFonts w:ascii="Arial" w:hAnsi="Arial" w:cs="Arial"/>
          <w:b/>
          <w:bCs/>
          <w:sz w:val="22"/>
          <w:szCs w:val="22"/>
        </w:rPr>
        <w:t>–</w:t>
      </w:r>
      <w:r w:rsidRPr="00B67A57">
        <w:rPr>
          <w:rFonts w:ascii="Arial" w:hAnsi="Arial" w:cs="Arial"/>
          <w:b/>
          <w:bCs/>
          <w:sz w:val="22"/>
          <w:szCs w:val="22"/>
        </w:rPr>
        <w:t xml:space="preserve"> D</w:t>
      </w:r>
      <w:r w:rsidR="004C56DB">
        <w:rPr>
          <w:rFonts w:ascii="Arial" w:hAnsi="Arial" w:cs="Arial"/>
          <w:b/>
          <w:bCs/>
          <w:sz w:val="22"/>
          <w:szCs w:val="22"/>
        </w:rPr>
        <w:t>A REVISÃO E</w:t>
      </w:r>
      <w:proofErr w:type="gramStart"/>
      <w:r w:rsidR="004C56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B67A5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B67A57">
        <w:rPr>
          <w:rFonts w:ascii="Arial" w:hAnsi="Arial" w:cs="Arial"/>
          <w:b/>
          <w:bCs/>
          <w:sz w:val="22"/>
          <w:szCs w:val="22"/>
        </w:rPr>
        <w:t>CANCELAMENTO D</w:t>
      </w:r>
      <w:r w:rsidR="004C56DB">
        <w:rPr>
          <w:rFonts w:ascii="Arial" w:hAnsi="Arial" w:cs="Arial"/>
          <w:b/>
          <w:bCs/>
          <w:sz w:val="22"/>
          <w:szCs w:val="22"/>
        </w:rPr>
        <w:t xml:space="preserve">OS </w:t>
      </w:r>
      <w:r w:rsidRPr="00B67A57">
        <w:rPr>
          <w:rFonts w:ascii="Arial" w:hAnsi="Arial" w:cs="Arial"/>
          <w:b/>
          <w:bCs/>
          <w:sz w:val="22"/>
          <w:szCs w:val="22"/>
        </w:rPr>
        <w:t>PREÇOS</w:t>
      </w:r>
      <w:r w:rsidR="004C56DB">
        <w:rPr>
          <w:rFonts w:ascii="Arial" w:hAnsi="Arial" w:cs="Arial"/>
          <w:b/>
          <w:bCs/>
          <w:sz w:val="22"/>
          <w:szCs w:val="22"/>
        </w:rPr>
        <w:t xml:space="preserve"> REGISTRADOS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bookmarkStart w:id="0" w:name="OLE_LINK1"/>
      <w:bookmarkStart w:id="1" w:name="OLE_LINK2"/>
      <w:r w:rsidRPr="004C56DB">
        <w:rPr>
          <w:rFonts w:ascii="Arial" w:hAnsi="Arial" w:cs="Arial"/>
          <w:sz w:val="22"/>
          <w:szCs w:val="22"/>
        </w:rPr>
        <w:t>Os preços registrados poderão ser revistos em decorrência de eventual redução dos preços praticados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no mercado ou de fato que eleve o custo dos bens registrados, cabendo ao órgão gerenciador (</w:t>
      </w:r>
      <w:proofErr w:type="spellStart"/>
      <w:r w:rsidRPr="004C56DB">
        <w:rPr>
          <w:rFonts w:ascii="Arial" w:hAnsi="Arial" w:cs="Arial"/>
          <w:sz w:val="22"/>
          <w:szCs w:val="22"/>
        </w:rPr>
        <w:t>Codevasf</w:t>
      </w:r>
      <w:proofErr w:type="spellEnd"/>
      <w:r w:rsidRPr="004C56D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 xml:space="preserve">promover as negociações junto aos </w:t>
      </w:r>
      <w:r w:rsidRPr="004C56DB">
        <w:rPr>
          <w:rFonts w:ascii="Arial" w:hAnsi="Arial" w:cs="Arial"/>
          <w:sz w:val="22"/>
          <w:szCs w:val="22"/>
        </w:rPr>
        <w:lastRenderedPageBreak/>
        <w:t>fornecedores, observadas as disposições contidas na alínea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“d” do inciso II do caput do art. 65 da Lei nº 8.666, de 1993.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Quando o preço registrado tornar-se superior ao preço praticado no mercado por motivo superveniente,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o órgão gerenciador (</w:t>
      </w:r>
      <w:proofErr w:type="spellStart"/>
      <w:r w:rsidRPr="004C56DB">
        <w:rPr>
          <w:rFonts w:ascii="Arial" w:hAnsi="Arial" w:cs="Arial"/>
          <w:sz w:val="22"/>
          <w:szCs w:val="22"/>
        </w:rPr>
        <w:t>Codevasf</w:t>
      </w:r>
      <w:proofErr w:type="spellEnd"/>
      <w:r w:rsidRPr="004C56DB">
        <w:rPr>
          <w:rFonts w:ascii="Arial" w:hAnsi="Arial" w:cs="Arial"/>
          <w:sz w:val="22"/>
          <w:szCs w:val="22"/>
        </w:rPr>
        <w:t>) convocará os fornecedores para negociarem a redução dos preços aos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valores praticados pelo mercado.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Os fornecedores que não aceitarem reduzir seus preços aos valores praticados pelo mercado serão liberados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do compromisso assumido, sem aplicação de penalidade.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A ordem de classificação dos fornecedores que aceitarem reduzir seus preços aos valores de mercado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observará a classificação original.</w:t>
      </w:r>
    </w:p>
    <w:p w:rsid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Quando o preço de mercado tornar-se superior aos preços registrados e o fornecedor não puder cumprir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o compromisso, o órgão gerenciador (</w:t>
      </w:r>
      <w:proofErr w:type="spellStart"/>
      <w:r w:rsidRPr="004C56DB">
        <w:rPr>
          <w:rFonts w:ascii="Arial" w:hAnsi="Arial" w:cs="Arial"/>
          <w:sz w:val="22"/>
          <w:szCs w:val="22"/>
        </w:rPr>
        <w:t>Codevasf</w:t>
      </w:r>
      <w:proofErr w:type="spellEnd"/>
      <w:r w:rsidRPr="004C56DB">
        <w:rPr>
          <w:rFonts w:ascii="Arial" w:hAnsi="Arial" w:cs="Arial"/>
          <w:sz w:val="22"/>
          <w:szCs w:val="22"/>
        </w:rPr>
        <w:t>) poderá: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</w:p>
    <w:p w:rsid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a) Liberar o fornecedor do compromisso assumido, caso a comunicação ocorra antes do pedido de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 xml:space="preserve">fornecimento, e sem aplicação da penalidade se confirmada </w:t>
      </w:r>
      <w:proofErr w:type="gramStart"/>
      <w:r w:rsidRPr="004C56DB">
        <w:rPr>
          <w:rFonts w:ascii="Arial" w:hAnsi="Arial" w:cs="Arial"/>
          <w:sz w:val="22"/>
          <w:szCs w:val="22"/>
        </w:rPr>
        <w:t>a</w:t>
      </w:r>
      <w:proofErr w:type="gramEnd"/>
      <w:r w:rsidRPr="004C56DB">
        <w:rPr>
          <w:rFonts w:ascii="Arial" w:hAnsi="Arial" w:cs="Arial"/>
          <w:sz w:val="22"/>
          <w:szCs w:val="22"/>
        </w:rPr>
        <w:t xml:space="preserve"> veracidade dos motivos e comprovantes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apresentados; e,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b) Convocar os demais fornecedores para assegurar igual oportunidade de negociação.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Não havendo êxito nas negociações, o órgão gerenciador (</w:t>
      </w:r>
      <w:proofErr w:type="spellStart"/>
      <w:r w:rsidRPr="004C56DB">
        <w:rPr>
          <w:rFonts w:ascii="Arial" w:hAnsi="Arial" w:cs="Arial"/>
          <w:sz w:val="22"/>
          <w:szCs w:val="22"/>
        </w:rPr>
        <w:t>Codevasf</w:t>
      </w:r>
      <w:proofErr w:type="spellEnd"/>
      <w:r w:rsidRPr="004C56DB">
        <w:rPr>
          <w:rFonts w:ascii="Arial" w:hAnsi="Arial" w:cs="Arial"/>
          <w:sz w:val="22"/>
          <w:szCs w:val="22"/>
        </w:rPr>
        <w:t>) procederá à revogação da Ata de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Registro de Preços, e adotará as medidas cabíveis para obtenção da contratação mais vantajosa.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O registro do fornecedor será cancelado quando: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a) Descumprir as condições da Ata de Registro de Preços;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b) Não retirar a Nota de empenho ou instrumento equivalente no prazo estabelecido pela Administração,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sem justificativa aceitável;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c) Não aceitar reduzir o seu preço registrado, na hipótese deste se tornar superior àqueles praticados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no mercado; ou,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d) Sofrer sanção prevista nos incisos III ou IV do caput do art. 87 da Lei nº 8.666, de 1993, ou no art.7º da Lei nº 10.520, de 2002.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 xml:space="preserve">O cancelamento de registros nas hipóteses previstas nas alíneas “a”, “b” e “d” do item </w:t>
      </w:r>
      <w:proofErr w:type="gramStart"/>
      <w:r w:rsidRPr="004C56DB">
        <w:rPr>
          <w:rFonts w:ascii="Arial" w:hAnsi="Arial" w:cs="Arial"/>
          <w:sz w:val="22"/>
          <w:szCs w:val="22"/>
        </w:rPr>
        <w:t>4</w:t>
      </w:r>
      <w:proofErr w:type="gramEnd"/>
      <w:r w:rsidRPr="004C56DB">
        <w:rPr>
          <w:rFonts w:ascii="Arial" w:hAnsi="Arial" w:cs="Arial"/>
          <w:sz w:val="22"/>
          <w:szCs w:val="22"/>
        </w:rPr>
        <w:t xml:space="preserve"> acima será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 xml:space="preserve">formalizado por processo administrativo específico da </w:t>
      </w:r>
      <w:proofErr w:type="spellStart"/>
      <w:r w:rsidRPr="004C56DB">
        <w:rPr>
          <w:rFonts w:ascii="Arial" w:hAnsi="Arial" w:cs="Arial"/>
          <w:sz w:val="22"/>
          <w:szCs w:val="22"/>
        </w:rPr>
        <w:t>Codevasf</w:t>
      </w:r>
      <w:proofErr w:type="spellEnd"/>
      <w:r w:rsidRPr="004C56DB">
        <w:rPr>
          <w:rFonts w:ascii="Arial" w:hAnsi="Arial" w:cs="Arial"/>
          <w:sz w:val="22"/>
          <w:szCs w:val="22"/>
        </w:rPr>
        <w:t>, assegurado o contraditório e a ampla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defesa.</w:t>
      </w:r>
    </w:p>
    <w:p w:rsidR="004C56DB" w:rsidRPr="004C56DB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O cancelamento do registro de preços poderá ocorrer por fato superveniente, decorrente de caso fortuito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ou força maior, que prejudique o cumprimento da ata, devidamente comprovados e justificados: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a) Por razão de interesse público; ou,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b) A pedido do fornecedor.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A Ata de Registro de Preços, decorrente desta licitação, será cancelada automaticamente: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a) Por decurso de prazo de vigência.</w:t>
      </w:r>
    </w:p>
    <w:p w:rsidR="004C56DB" w:rsidRPr="004C56DB" w:rsidRDefault="004C56DB" w:rsidP="004C56D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>b) Quando não restarem fornecedores registrados.</w:t>
      </w:r>
    </w:p>
    <w:p w:rsidR="00252BE5" w:rsidRDefault="004C56DB" w:rsidP="004C56DB">
      <w:pPr>
        <w:jc w:val="both"/>
        <w:rPr>
          <w:rFonts w:ascii="Arial" w:hAnsi="Arial" w:cs="Arial"/>
          <w:sz w:val="22"/>
          <w:szCs w:val="22"/>
        </w:rPr>
      </w:pPr>
      <w:r w:rsidRPr="004C56DB">
        <w:rPr>
          <w:rFonts w:ascii="Arial" w:hAnsi="Arial" w:cs="Arial"/>
          <w:sz w:val="22"/>
          <w:szCs w:val="22"/>
        </w:rPr>
        <w:t xml:space="preserve">Em quaisquer das hipóteses acima, a </w:t>
      </w:r>
      <w:proofErr w:type="spellStart"/>
      <w:r w:rsidRPr="004C56DB">
        <w:rPr>
          <w:rFonts w:ascii="Arial" w:hAnsi="Arial" w:cs="Arial"/>
          <w:sz w:val="22"/>
          <w:szCs w:val="22"/>
        </w:rPr>
        <w:t>Codevasf</w:t>
      </w:r>
      <w:proofErr w:type="spellEnd"/>
      <w:r w:rsidRPr="004C56DB">
        <w:rPr>
          <w:rFonts w:ascii="Arial" w:hAnsi="Arial" w:cs="Arial"/>
          <w:sz w:val="22"/>
          <w:szCs w:val="22"/>
        </w:rPr>
        <w:t xml:space="preserve"> fará o devido </w:t>
      </w:r>
      <w:proofErr w:type="spellStart"/>
      <w:r w:rsidRPr="004C56DB">
        <w:rPr>
          <w:rFonts w:ascii="Arial" w:hAnsi="Arial" w:cs="Arial"/>
          <w:sz w:val="22"/>
          <w:szCs w:val="22"/>
        </w:rPr>
        <w:t>apostilamento</w:t>
      </w:r>
      <w:proofErr w:type="spellEnd"/>
      <w:r w:rsidRPr="004C56DB">
        <w:rPr>
          <w:rFonts w:ascii="Arial" w:hAnsi="Arial" w:cs="Arial"/>
          <w:sz w:val="22"/>
          <w:szCs w:val="22"/>
        </w:rPr>
        <w:t xml:space="preserve"> na Ata de Registro de Preços</w:t>
      </w:r>
      <w:r>
        <w:rPr>
          <w:rFonts w:ascii="Arial" w:hAnsi="Arial" w:cs="Arial"/>
          <w:sz w:val="22"/>
          <w:szCs w:val="22"/>
        </w:rPr>
        <w:t xml:space="preserve"> </w:t>
      </w:r>
      <w:r w:rsidRPr="004C56DB">
        <w:rPr>
          <w:rFonts w:ascii="Arial" w:hAnsi="Arial" w:cs="Arial"/>
          <w:sz w:val="22"/>
          <w:szCs w:val="22"/>
        </w:rPr>
        <w:t>e informará aos fornecedores a nova ordem de registro.</w:t>
      </w:r>
    </w:p>
    <w:p w:rsidR="004C56DB" w:rsidRPr="00B67A57" w:rsidRDefault="004C56DB" w:rsidP="004C56DB">
      <w:pPr>
        <w:jc w:val="both"/>
        <w:rPr>
          <w:rFonts w:ascii="Arial" w:hAnsi="Arial" w:cs="Arial"/>
          <w:sz w:val="22"/>
          <w:szCs w:val="22"/>
        </w:rPr>
      </w:pPr>
    </w:p>
    <w:bookmarkEnd w:id="0"/>
    <w:bookmarkEnd w:id="1"/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4C56DB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5</w:t>
      </w:r>
      <w:r w:rsidR="00252BE5" w:rsidRPr="00B67A57">
        <w:rPr>
          <w:rFonts w:ascii="Arial" w:hAnsi="Arial" w:cs="Arial"/>
          <w:b/>
          <w:bCs/>
          <w:sz w:val="22"/>
          <w:szCs w:val="22"/>
        </w:rPr>
        <w:t xml:space="preserve"> – DO PAGAMENTO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 xml:space="preserve">O pagamento será efetuado pela </w:t>
      </w:r>
      <w:proofErr w:type="spellStart"/>
      <w:r w:rsidRPr="00B67A57">
        <w:rPr>
          <w:rFonts w:ascii="Arial" w:hAnsi="Arial" w:cs="Arial"/>
          <w:b/>
          <w:sz w:val="22"/>
          <w:szCs w:val="22"/>
        </w:rPr>
        <w:t>Codevasf</w:t>
      </w:r>
      <w:proofErr w:type="spellEnd"/>
      <w:r w:rsidRPr="00B67A57">
        <w:rPr>
          <w:rFonts w:ascii="Arial" w:hAnsi="Arial" w:cs="Arial"/>
          <w:sz w:val="22"/>
          <w:szCs w:val="22"/>
        </w:rPr>
        <w:t xml:space="preserve"> em conformidade com o disposto no item </w:t>
      </w:r>
      <w:r w:rsidR="004F2AD4">
        <w:rPr>
          <w:rFonts w:ascii="Arial" w:hAnsi="Arial" w:cs="Arial"/>
          <w:sz w:val="22"/>
          <w:szCs w:val="22"/>
        </w:rPr>
        <w:t>22</w:t>
      </w:r>
      <w:r w:rsidRPr="00B67A57">
        <w:rPr>
          <w:rFonts w:ascii="Arial" w:hAnsi="Arial" w:cs="Arial"/>
          <w:sz w:val="22"/>
          <w:szCs w:val="22"/>
        </w:rPr>
        <w:t xml:space="preserve"> do Edital.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4C56DB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</w:t>
      </w:r>
      <w:r w:rsidR="00252BE5" w:rsidRPr="00B67A57">
        <w:rPr>
          <w:rFonts w:ascii="Arial" w:hAnsi="Arial" w:cs="Arial"/>
          <w:b/>
          <w:bCs/>
          <w:sz w:val="22"/>
          <w:szCs w:val="22"/>
        </w:rPr>
        <w:t xml:space="preserve"> – DAS SANÇÕES ADMINISTRATIVAS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>O detentor da Ata de Registro de Preços estará sujeito à aplicação das sanções administrativas previstas no item</w:t>
      </w:r>
      <w:r w:rsidR="004F2AD4">
        <w:rPr>
          <w:rFonts w:ascii="Arial" w:hAnsi="Arial" w:cs="Arial"/>
          <w:sz w:val="22"/>
          <w:szCs w:val="22"/>
        </w:rPr>
        <w:t xml:space="preserve"> 27</w:t>
      </w:r>
      <w:r w:rsidRPr="00B67A57">
        <w:rPr>
          <w:rFonts w:ascii="Arial" w:hAnsi="Arial" w:cs="Arial"/>
          <w:sz w:val="22"/>
          <w:szCs w:val="22"/>
        </w:rPr>
        <w:t xml:space="preserve"> do Edital, no caso de descumprimento parcial ou total das condições estipuladas.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>10 – DA AUTORIZAÇÃO PARA A CONTRATAÇÃO</w:t>
      </w:r>
    </w:p>
    <w:p w:rsidR="00252BE5" w:rsidRPr="00B67A57" w:rsidRDefault="00252BE5" w:rsidP="00532410">
      <w:pPr>
        <w:jc w:val="both"/>
        <w:rPr>
          <w:rFonts w:ascii="Arial" w:hAnsi="Arial" w:cs="Arial"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 xml:space="preserve">A contratação e os demais atos inerentes </w:t>
      </w:r>
      <w:proofErr w:type="gramStart"/>
      <w:r w:rsidRPr="00B67A57">
        <w:rPr>
          <w:rFonts w:ascii="Arial" w:hAnsi="Arial" w:cs="Arial"/>
          <w:sz w:val="22"/>
          <w:szCs w:val="22"/>
        </w:rPr>
        <w:t>à</w:t>
      </w:r>
      <w:proofErr w:type="gramEnd"/>
      <w:r w:rsidRPr="00B67A57">
        <w:rPr>
          <w:rFonts w:ascii="Arial" w:hAnsi="Arial" w:cs="Arial"/>
          <w:sz w:val="22"/>
          <w:szCs w:val="22"/>
        </w:rPr>
        <w:t xml:space="preserve"> presente Ata de Registro de Preços serão autorizados, caso a caso, pelo Sr. Presidente da </w:t>
      </w:r>
      <w:proofErr w:type="spellStart"/>
      <w:r w:rsidRPr="00B67A57">
        <w:rPr>
          <w:rFonts w:ascii="Arial" w:hAnsi="Arial" w:cs="Arial"/>
          <w:b/>
          <w:sz w:val="22"/>
          <w:szCs w:val="22"/>
        </w:rPr>
        <w:t>Codevasf</w:t>
      </w:r>
      <w:proofErr w:type="spellEnd"/>
      <w:r w:rsidRPr="00B67A57">
        <w:rPr>
          <w:rFonts w:ascii="Arial" w:hAnsi="Arial" w:cs="Arial"/>
          <w:sz w:val="22"/>
          <w:szCs w:val="22"/>
        </w:rPr>
        <w:t>, e, no caso dos órgãos usuários, pela respectiva autoridade responsável de cada órgão.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>11 – DAS DISPOSIÇÕES FINAIS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B67A57">
        <w:rPr>
          <w:rFonts w:ascii="Arial" w:hAnsi="Arial" w:cs="Arial"/>
          <w:sz w:val="22"/>
          <w:szCs w:val="22"/>
        </w:rPr>
        <w:t>Integram</w:t>
      </w:r>
      <w:proofErr w:type="gramEnd"/>
      <w:r w:rsidRPr="00B67A57">
        <w:rPr>
          <w:rFonts w:ascii="Arial" w:hAnsi="Arial" w:cs="Arial"/>
          <w:sz w:val="22"/>
          <w:szCs w:val="22"/>
        </w:rPr>
        <w:t xml:space="preserve"> esta Ata, o Edital do Pregão Eletrônico por Registro de Preços nº ___/201</w:t>
      </w:r>
      <w:r w:rsidR="004F2AD4">
        <w:rPr>
          <w:rFonts w:ascii="Arial" w:hAnsi="Arial" w:cs="Arial"/>
          <w:sz w:val="22"/>
          <w:szCs w:val="22"/>
        </w:rPr>
        <w:t>5</w:t>
      </w:r>
      <w:r w:rsidRPr="00B67A57">
        <w:rPr>
          <w:rFonts w:ascii="Arial" w:hAnsi="Arial" w:cs="Arial"/>
          <w:sz w:val="22"/>
          <w:szCs w:val="22"/>
        </w:rPr>
        <w:t>, seus anexos, e a proposta da empresa: ________________ classificada em 1º lugar no certame supramencionado.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 xml:space="preserve">O Foro da Justiça Federal da Subseção Judiciária de Petrolina, Estado de Pernambuco será competente para dirimir questões oriundas </w:t>
      </w:r>
      <w:proofErr w:type="gramStart"/>
      <w:r w:rsidRPr="00B67A57">
        <w:rPr>
          <w:rFonts w:ascii="Arial" w:hAnsi="Arial" w:cs="Arial"/>
          <w:sz w:val="22"/>
          <w:szCs w:val="22"/>
        </w:rPr>
        <w:t>da presente</w:t>
      </w:r>
      <w:proofErr w:type="gramEnd"/>
      <w:r w:rsidRPr="00B67A57">
        <w:rPr>
          <w:rFonts w:ascii="Arial" w:hAnsi="Arial" w:cs="Arial"/>
          <w:sz w:val="22"/>
          <w:szCs w:val="22"/>
        </w:rPr>
        <w:t xml:space="preserve"> convocação, renunciando as partes, a qualquer outro, por mais privilegiado que seja.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4F2AD4" w:rsidP="004F2AD4">
      <w:pPr>
        <w:jc w:val="both"/>
        <w:rPr>
          <w:rFonts w:ascii="Arial" w:hAnsi="Arial" w:cs="Arial"/>
          <w:sz w:val="22"/>
          <w:szCs w:val="22"/>
        </w:rPr>
      </w:pPr>
      <w:r w:rsidRPr="004F2AD4">
        <w:rPr>
          <w:rFonts w:ascii="Arial" w:hAnsi="Arial" w:cs="Arial"/>
          <w:sz w:val="22"/>
          <w:szCs w:val="22"/>
        </w:rPr>
        <w:t>Aos casos omissos aplicar-se-ão as demais disposições constantes da Lei n. º 10.520, de 17 de julho de</w:t>
      </w:r>
      <w:r>
        <w:rPr>
          <w:rFonts w:ascii="Arial" w:hAnsi="Arial" w:cs="Arial"/>
          <w:sz w:val="22"/>
          <w:szCs w:val="22"/>
        </w:rPr>
        <w:t xml:space="preserve"> </w:t>
      </w:r>
      <w:r w:rsidRPr="004F2AD4">
        <w:rPr>
          <w:rFonts w:ascii="Arial" w:hAnsi="Arial" w:cs="Arial"/>
          <w:sz w:val="22"/>
          <w:szCs w:val="22"/>
        </w:rPr>
        <w:t>2002, do Decreto nº 5.450, de 31 de maio de 2005, do Decreto nº 7.892, de 23 de janeiro de 2013, da</w:t>
      </w:r>
      <w:r>
        <w:rPr>
          <w:rFonts w:ascii="Arial" w:hAnsi="Arial" w:cs="Arial"/>
          <w:sz w:val="22"/>
          <w:szCs w:val="22"/>
        </w:rPr>
        <w:t xml:space="preserve"> </w:t>
      </w:r>
      <w:r w:rsidRPr="004F2AD4">
        <w:rPr>
          <w:rFonts w:ascii="Arial" w:hAnsi="Arial" w:cs="Arial"/>
          <w:sz w:val="22"/>
          <w:szCs w:val="22"/>
        </w:rPr>
        <w:t>Lei nº 8.666, de 21 de junho de 1993 e demais normas aplicáveis.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  <w:r w:rsidRPr="00B67A57">
        <w:rPr>
          <w:rFonts w:ascii="Arial" w:hAnsi="Arial" w:cs="Arial"/>
          <w:sz w:val="22"/>
          <w:szCs w:val="22"/>
        </w:rPr>
        <w:t xml:space="preserve">Petrolina-PE, _____ de _________ </w:t>
      </w:r>
      <w:proofErr w:type="spellStart"/>
      <w:r w:rsidRPr="00B67A57">
        <w:rPr>
          <w:rFonts w:ascii="Arial" w:hAnsi="Arial" w:cs="Arial"/>
          <w:sz w:val="22"/>
          <w:szCs w:val="22"/>
        </w:rPr>
        <w:t>de</w:t>
      </w:r>
      <w:proofErr w:type="spellEnd"/>
      <w:r w:rsidRPr="00B67A57">
        <w:rPr>
          <w:rFonts w:ascii="Arial" w:hAnsi="Arial" w:cs="Arial"/>
          <w:sz w:val="22"/>
          <w:szCs w:val="22"/>
        </w:rPr>
        <w:t xml:space="preserve"> 201</w:t>
      </w:r>
      <w:r w:rsidR="004F2AD4">
        <w:rPr>
          <w:rFonts w:ascii="Arial" w:hAnsi="Arial" w:cs="Arial"/>
          <w:sz w:val="22"/>
          <w:szCs w:val="22"/>
        </w:rPr>
        <w:t>5</w:t>
      </w:r>
      <w:r w:rsidRPr="00B67A57">
        <w:rPr>
          <w:rFonts w:ascii="Arial" w:hAnsi="Arial" w:cs="Arial"/>
          <w:sz w:val="22"/>
          <w:szCs w:val="22"/>
        </w:rPr>
        <w:t>.</w:t>
      </w: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67A57">
        <w:rPr>
          <w:rFonts w:ascii="Arial" w:hAnsi="Arial" w:cs="Arial"/>
          <w:b/>
          <w:bCs/>
          <w:sz w:val="22"/>
          <w:szCs w:val="22"/>
        </w:rPr>
        <w:t>________________________________</w:t>
      </w:r>
    </w:p>
    <w:p w:rsidR="00532410" w:rsidRDefault="004F2AD4" w:rsidP="00532410">
      <w:pPr>
        <w:jc w:val="both"/>
        <w:rPr>
          <w:rFonts w:ascii="Arial" w:hAnsi="Arial" w:cs="Arial"/>
          <w:b/>
          <w:sz w:val="22"/>
          <w:szCs w:val="22"/>
        </w:rPr>
      </w:pPr>
      <w:bookmarkStart w:id="2" w:name="_GoBack"/>
      <w:r>
        <w:rPr>
          <w:rFonts w:ascii="Arial" w:hAnsi="Arial" w:cs="Arial"/>
          <w:b/>
          <w:sz w:val="22"/>
          <w:szCs w:val="22"/>
        </w:rPr>
        <w:t>JOÃO BOSCO LAVERDA DE ALENCAR</w:t>
      </w:r>
    </w:p>
    <w:bookmarkEnd w:id="2"/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  <w:r w:rsidRPr="00B67A57">
        <w:rPr>
          <w:rFonts w:ascii="Arial" w:hAnsi="Arial" w:cs="Arial"/>
          <w:b/>
          <w:sz w:val="22"/>
          <w:szCs w:val="22"/>
        </w:rPr>
        <w:t>Superintendente Regional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  <w:r w:rsidRPr="00B67A57">
        <w:rPr>
          <w:rFonts w:ascii="Arial" w:hAnsi="Arial" w:cs="Arial"/>
          <w:b/>
          <w:sz w:val="22"/>
          <w:szCs w:val="22"/>
        </w:rPr>
        <w:t>CODEVASF – 3ª SR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</w:p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  <w:r w:rsidRPr="00B67A57">
        <w:rPr>
          <w:rFonts w:ascii="Arial" w:hAnsi="Arial" w:cs="Arial"/>
          <w:b/>
          <w:sz w:val="22"/>
          <w:szCs w:val="22"/>
        </w:rPr>
        <w:t>________________________________________________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  <w:r w:rsidRPr="00B67A57">
        <w:rPr>
          <w:rFonts w:ascii="Arial" w:hAnsi="Arial" w:cs="Arial"/>
          <w:b/>
          <w:sz w:val="22"/>
          <w:szCs w:val="22"/>
        </w:rPr>
        <w:t>REPRESENTANTE: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  <w:r w:rsidRPr="00B67A57">
        <w:rPr>
          <w:rFonts w:ascii="Arial" w:hAnsi="Arial" w:cs="Arial"/>
          <w:b/>
          <w:sz w:val="22"/>
          <w:szCs w:val="22"/>
        </w:rPr>
        <w:t>EMPRESA:</w:t>
      </w:r>
    </w:p>
    <w:p w:rsidR="00252BE5" w:rsidRPr="00B67A57" w:rsidRDefault="00252BE5" w:rsidP="00532410">
      <w:pPr>
        <w:jc w:val="both"/>
        <w:rPr>
          <w:rFonts w:ascii="Arial" w:hAnsi="Arial" w:cs="Arial"/>
          <w:b/>
          <w:sz w:val="22"/>
          <w:szCs w:val="22"/>
        </w:rPr>
      </w:pPr>
    </w:p>
    <w:p w:rsidR="00B94ED1" w:rsidRDefault="00B94ED1" w:rsidP="00532410">
      <w:pPr>
        <w:pStyle w:val="Legenda1"/>
        <w:spacing w:line="240" w:lineRule="auto"/>
        <w:jc w:val="both"/>
      </w:pPr>
    </w:p>
    <w:sectPr w:rsidR="00B94ED1" w:rsidSect="00A453C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26" w:rsidRDefault="001D1126" w:rsidP="00043868">
      <w:r>
        <w:separator/>
      </w:r>
    </w:p>
  </w:endnote>
  <w:endnote w:type="continuationSeparator" w:id="0">
    <w:p w:rsidR="001D1126" w:rsidRDefault="001D1126" w:rsidP="0004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26" w:rsidRDefault="001D1126" w:rsidP="00043868">
      <w:r>
        <w:separator/>
      </w:r>
    </w:p>
  </w:footnote>
  <w:footnote w:type="continuationSeparator" w:id="0">
    <w:p w:rsidR="001D1126" w:rsidRDefault="001D1126" w:rsidP="000438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868" w:rsidRDefault="00043868" w:rsidP="00043868">
    <w:pPr>
      <w:jc w:val="center"/>
      <w:rPr>
        <w:b/>
        <w:sz w:val="22"/>
      </w:rPr>
    </w:pPr>
  </w:p>
  <w:p w:rsidR="00043868" w:rsidRDefault="00312B6F" w:rsidP="00043868">
    <w:pPr>
      <w:jc w:val="center"/>
      <w:rPr>
        <w:b/>
      </w:rPr>
    </w:pPr>
    <w:r>
      <w:rPr>
        <w:b/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4581525</wp:posOffset>
              </wp:positionH>
              <wp:positionV relativeFrom="paragraph">
                <wp:posOffset>-223520</wp:posOffset>
              </wp:positionV>
              <wp:extent cx="1744345" cy="678180"/>
              <wp:effectExtent l="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345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3868" w:rsidRPr="009F75DB" w:rsidRDefault="00043868" w:rsidP="00043868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F75D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Fls.: ___________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</w:t>
                          </w:r>
                          <w:r w:rsidRPr="009F75D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________</w:t>
                          </w:r>
                        </w:p>
                        <w:p w:rsidR="00043868" w:rsidRPr="009F75DB" w:rsidRDefault="00043868" w:rsidP="00043868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F75D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Proc.: 59530.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000</w:t>
                          </w:r>
                          <w:r w:rsidR="0053241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311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/201</w:t>
                          </w:r>
                          <w:r w:rsidR="0053241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-</w:t>
                          </w:r>
                          <w:r w:rsidR="0053241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18</w:t>
                          </w:r>
                        </w:p>
                        <w:p w:rsidR="00043868" w:rsidRPr="009F75DB" w:rsidRDefault="00043868" w:rsidP="00043868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F75D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_______________________</w:t>
                          </w:r>
                        </w:p>
                        <w:p w:rsidR="00043868" w:rsidRPr="009F75DB" w:rsidRDefault="00043868" w:rsidP="00043868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F75D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3ª SL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60.75pt;margin-top:-17.6pt;width:137.35pt;height:5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" stroked="f">
              <v:textbox>
                <w:txbxContent>
                  <w:p w:rsidR="00043868" w:rsidRPr="009F75DB" w:rsidRDefault="00043868" w:rsidP="00043868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F75DB">
                      <w:rPr>
                        <w:rFonts w:ascii="Arial" w:hAnsi="Arial" w:cs="Arial"/>
                        <w:sz w:val="18"/>
                        <w:szCs w:val="18"/>
                      </w:rPr>
                      <w:t>Fls.: ___________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_</w:t>
                    </w:r>
                    <w:r w:rsidRPr="009F75DB">
                      <w:rPr>
                        <w:rFonts w:ascii="Arial" w:hAnsi="Arial" w:cs="Arial"/>
                        <w:sz w:val="18"/>
                        <w:szCs w:val="18"/>
                      </w:rPr>
                      <w:t>________</w:t>
                    </w:r>
                  </w:p>
                  <w:p w:rsidR="00043868" w:rsidRPr="009F75DB" w:rsidRDefault="00043868" w:rsidP="00043868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F75DB">
                      <w:rPr>
                        <w:rFonts w:ascii="Arial" w:hAnsi="Arial" w:cs="Arial"/>
                        <w:sz w:val="18"/>
                        <w:szCs w:val="18"/>
                      </w:rPr>
                      <w:t>Proc.: 59530.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000</w:t>
                    </w:r>
                    <w:r w:rsidR="00532410">
                      <w:rPr>
                        <w:rFonts w:ascii="Arial" w:hAnsi="Arial" w:cs="Arial"/>
                        <w:sz w:val="18"/>
                        <w:szCs w:val="18"/>
                      </w:rPr>
                      <w:t>311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/201</w:t>
                    </w:r>
                    <w:r w:rsidR="00532410">
                      <w:rPr>
                        <w:rFonts w:ascii="Arial" w:hAnsi="Arial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-</w:t>
                    </w:r>
                    <w:r w:rsidR="00532410">
                      <w:rPr>
                        <w:rFonts w:ascii="Arial" w:hAnsi="Arial" w:cs="Arial"/>
                        <w:sz w:val="18"/>
                        <w:szCs w:val="18"/>
                      </w:rPr>
                      <w:t>18</w:t>
                    </w:r>
                  </w:p>
                  <w:p w:rsidR="00043868" w:rsidRPr="009F75DB" w:rsidRDefault="00043868" w:rsidP="00043868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F75DB">
                      <w:rPr>
                        <w:rFonts w:ascii="Arial" w:hAnsi="Arial" w:cs="Arial"/>
                        <w:sz w:val="18"/>
                        <w:szCs w:val="18"/>
                      </w:rPr>
                      <w:t>_______________________</w:t>
                    </w:r>
                  </w:p>
                  <w:p w:rsidR="00043868" w:rsidRPr="009F75DB" w:rsidRDefault="00043868" w:rsidP="0004386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9F75DB">
                      <w:rPr>
                        <w:rFonts w:ascii="Arial" w:hAnsi="Arial" w:cs="Arial"/>
                        <w:sz w:val="18"/>
                        <w:szCs w:val="18"/>
                      </w:rPr>
                      <w:t>3ª SL</w:t>
                    </w:r>
                  </w:p>
                </w:txbxContent>
              </v:textbox>
            </v:shape>
          </w:pict>
        </mc:Fallback>
      </mc:AlternateContent>
    </w:r>
  </w:p>
  <w:p w:rsidR="00043868" w:rsidRDefault="00043868" w:rsidP="00043868">
    <w:pPr>
      <w:jc w:val="center"/>
      <w:rPr>
        <w:b/>
      </w:rPr>
    </w:pPr>
  </w:p>
  <w:p w:rsidR="00043868" w:rsidRDefault="00043868" w:rsidP="00043868">
    <w:pPr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MINISTÉRIO DA INTEGRAÇÃO NACIONAL - MI</w:t>
    </w:r>
  </w:p>
  <w:p w:rsidR="00043868" w:rsidRDefault="00043868" w:rsidP="00043868">
    <w:pPr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COMPANHIA DE DESENVOLVIMENTO DOS VALES DO SÃO FRANCISCO E DO PARNAÍBA</w:t>
    </w:r>
  </w:p>
  <w:p w:rsidR="00043868" w:rsidRDefault="00043868" w:rsidP="00043868">
    <w:pPr>
      <w:jc w:val="center"/>
      <w:rPr>
        <w:b/>
        <w:bCs/>
        <w:sz w:val="22"/>
        <w:szCs w:val="22"/>
      </w:rPr>
    </w:pPr>
    <w:r>
      <w:rPr>
        <w:rFonts w:ascii="Arial" w:hAnsi="Arial" w:cs="Arial"/>
        <w:b/>
        <w:bCs/>
      </w:rPr>
      <w:t>3ª SL – SECRETARIA REGIONAL DE LICITAÇÕES</w:t>
    </w:r>
  </w:p>
  <w:p w:rsidR="00043868" w:rsidRDefault="0004386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D1"/>
    <w:rsid w:val="00022AEA"/>
    <w:rsid w:val="0004045D"/>
    <w:rsid w:val="00043868"/>
    <w:rsid w:val="00072139"/>
    <w:rsid w:val="000A2984"/>
    <w:rsid w:val="000E0484"/>
    <w:rsid w:val="0012532F"/>
    <w:rsid w:val="001D1126"/>
    <w:rsid w:val="00252BE5"/>
    <w:rsid w:val="00312B6F"/>
    <w:rsid w:val="003269B8"/>
    <w:rsid w:val="00427AE6"/>
    <w:rsid w:val="004C56DB"/>
    <w:rsid w:val="004F2AD4"/>
    <w:rsid w:val="004F4208"/>
    <w:rsid w:val="00523609"/>
    <w:rsid w:val="00532410"/>
    <w:rsid w:val="00577341"/>
    <w:rsid w:val="005D6291"/>
    <w:rsid w:val="0061728F"/>
    <w:rsid w:val="00654673"/>
    <w:rsid w:val="00846BE0"/>
    <w:rsid w:val="00851328"/>
    <w:rsid w:val="00877776"/>
    <w:rsid w:val="00A3756F"/>
    <w:rsid w:val="00A453C2"/>
    <w:rsid w:val="00A717F7"/>
    <w:rsid w:val="00B0303F"/>
    <w:rsid w:val="00B57D39"/>
    <w:rsid w:val="00B94ED1"/>
    <w:rsid w:val="00BD7D72"/>
    <w:rsid w:val="00C02C06"/>
    <w:rsid w:val="00C61D1F"/>
    <w:rsid w:val="00CA3F29"/>
    <w:rsid w:val="00CD5AA6"/>
    <w:rsid w:val="00D11D8F"/>
    <w:rsid w:val="00DA62D7"/>
    <w:rsid w:val="00E74BD7"/>
    <w:rsid w:val="00EB36B9"/>
    <w:rsid w:val="00F7348D"/>
    <w:rsid w:val="00FE0ABB"/>
    <w:rsid w:val="00FE183F"/>
    <w:rsid w:val="00FF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00" w:afterAutospacing="1"/>
        <w:ind w:left="142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D1"/>
    <w:pPr>
      <w:spacing w:after="0" w:afterAutospacing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52BE5"/>
    <w:pPr>
      <w:keepNext/>
      <w:numPr>
        <w:numId w:val="1"/>
      </w:numPr>
      <w:spacing w:before="120" w:after="120"/>
      <w:ind w:left="3544" w:hanging="1276"/>
      <w:jc w:val="both"/>
      <w:outlineLvl w:val="0"/>
    </w:pPr>
    <w:rPr>
      <w:sz w:val="24"/>
      <w:lang w:eastAsia="ar-SA"/>
    </w:rPr>
  </w:style>
  <w:style w:type="paragraph" w:styleId="Ttulo7">
    <w:name w:val="heading 7"/>
    <w:basedOn w:val="Normal"/>
    <w:next w:val="Normal"/>
    <w:link w:val="Ttulo7Char"/>
    <w:qFormat/>
    <w:rsid w:val="00252BE5"/>
    <w:pPr>
      <w:keepNext/>
      <w:numPr>
        <w:ilvl w:val="6"/>
        <w:numId w:val="1"/>
      </w:numPr>
      <w:jc w:val="both"/>
      <w:outlineLvl w:val="6"/>
    </w:pPr>
    <w:rPr>
      <w:b/>
      <w:sz w:val="24"/>
      <w:lang w:eastAsia="ar-SA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269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8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438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438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438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Legenda1">
    <w:name w:val="Legenda1"/>
    <w:basedOn w:val="Normal"/>
    <w:next w:val="Normal"/>
    <w:rsid w:val="005D6291"/>
    <w:pPr>
      <w:spacing w:line="360" w:lineRule="auto"/>
      <w:jc w:val="center"/>
    </w:pPr>
    <w:rPr>
      <w:b/>
      <w:spacing w:val="74"/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252BE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252BE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269B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paragraph" w:styleId="NormalWeb">
    <w:name w:val="Normal (Web)"/>
    <w:basedOn w:val="Normal"/>
    <w:rsid w:val="003269B8"/>
    <w:pPr>
      <w:suppressAutoHyphens/>
      <w:autoSpaceDE w:val="0"/>
      <w:spacing w:before="100" w:after="100"/>
    </w:pPr>
    <w:rPr>
      <w:szCs w:val="24"/>
      <w:lang w:eastAsia="zh-CN"/>
    </w:rPr>
  </w:style>
  <w:style w:type="paragraph" w:styleId="PargrafodaLista">
    <w:name w:val="List Paragraph"/>
    <w:basedOn w:val="Normal"/>
    <w:uiPriority w:val="34"/>
    <w:qFormat/>
    <w:rsid w:val="004C5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00" w:afterAutospacing="1"/>
        <w:ind w:left="142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D1"/>
    <w:pPr>
      <w:spacing w:after="0" w:afterAutospacing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52BE5"/>
    <w:pPr>
      <w:keepNext/>
      <w:numPr>
        <w:numId w:val="1"/>
      </w:numPr>
      <w:spacing w:before="120" w:after="120"/>
      <w:ind w:left="3544" w:hanging="1276"/>
      <w:jc w:val="both"/>
      <w:outlineLvl w:val="0"/>
    </w:pPr>
    <w:rPr>
      <w:sz w:val="24"/>
      <w:lang w:eastAsia="ar-SA"/>
    </w:rPr>
  </w:style>
  <w:style w:type="paragraph" w:styleId="Ttulo7">
    <w:name w:val="heading 7"/>
    <w:basedOn w:val="Normal"/>
    <w:next w:val="Normal"/>
    <w:link w:val="Ttulo7Char"/>
    <w:qFormat/>
    <w:rsid w:val="00252BE5"/>
    <w:pPr>
      <w:keepNext/>
      <w:numPr>
        <w:ilvl w:val="6"/>
        <w:numId w:val="1"/>
      </w:numPr>
      <w:jc w:val="both"/>
      <w:outlineLvl w:val="6"/>
    </w:pPr>
    <w:rPr>
      <w:b/>
      <w:sz w:val="24"/>
      <w:lang w:eastAsia="ar-SA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269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38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438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438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4386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Legenda1">
    <w:name w:val="Legenda1"/>
    <w:basedOn w:val="Normal"/>
    <w:next w:val="Normal"/>
    <w:rsid w:val="005D6291"/>
    <w:pPr>
      <w:spacing w:line="360" w:lineRule="auto"/>
      <w:jc w:val="center"/>
    </w:pPr>
    <w:rPr>
      <w:b/>
      <w:spacing w:val="74"/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252BE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252BE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269B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paragraph" w:styleId="NormalWeb">
    <w:name w:val="Normal (Web)"/>
    <w:basedOn w:val="Normal"/>
    <w:rsid w:val="003269B8"/>
    <w:pPr>
      <w:suppressAutoHyphens/>
      <w:autoSpaceDE w:val="0"/>
      <w:spacing w:before="100" w:after="100"/>
    </w:pPr>
    <w:rPr>
      <w:szCs w:val="24"/>
      <w:lang w:eastAsia="zh-CN"/>
    </w:rPr>
  </w:style>
  <w:style w:type="paragraph" w:styleId="PargrafodaLista">
    <w:name w:val="List Paragraph"/>
    <w:basedOn w:val="Normal"/>
    <w:uiPriority w:val="34"/>
    <w:qFormat/>
    <w:rsid w:val="004C5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1349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augusto.junior</dc:creator>
  <cp:lastModifiedBy>Augusto Bezerra de Assis Junior</cp:lastModifiedBy>
  <cp:revision>4</cp:revision>
  <dcterms:created xsi:type="dcterms:W3CDTF">2015-05-22T20:37:00Z</dcterms:created>
  <dcterms:modified xsi:type="dcterms:W3CDTF">2015-05-25T11:38:00Z</dcterms:modified>
</cp:coreProperties>
</file>